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5435–ОАОФКС/2/12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12</w:t>
      </w:r>
      <w:r w:rsidRPr="000F798D">
        <w:rPr>
          <w:rFonts w:eastAsia="Times New Roman"/>
        </w:rPr>
        <w:t>: Грузовой бортовой ГАЗ C41R33 (дизель)
VIN: X96C41R33H1088704, г/н У640ВС 18. 
Производство: Россия.
Год выпуска – 2017 г.в.
Пробег: 211 143 км.
Максимальная мощность: 124,2 кВт / 168,8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2 900 000.00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