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4986–ОАОФКС/1/5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Трансформатор ТМ  560/10 (6)/0,4. Характеристики: Номинальная мощность: 560 кВА., номинальное напряжение обмотки НН: 0,4 кВ., номинальное напряжение обмотки ВН: 6 (10) кВ., схема и группа соединения обмоток: Д/Ун-11 или У/Ун-0, тип регулирования напряжения: ПБВ, диапазон регулирования: ±2х2,5%, материал обмоток: алюминий, потери короткого замыкания: 12200 Вт, потери холостого хода: 1470 Вт, ток холостого хода: 0,8%, климатическое исполнение и категория размещения: У1 (У3), номинальная частота: 50 Гц, габариты (ДхШхВ): 1900х1235х1825 мм (без катков), масса (полная): 1987 кг. Силовой масляный трансформатор герметичный с защитой масла, с естественным охлаждением типа ТМ предназначен для преобразования электрической энергии переменного тока одного напряжения в электрическую энергию переменного тока другого напряжения в трехфазных сетях энергосистем, а так же для питания различных потребителей в сетях переменного тока частотой 50 Гц. В трансформаторах ТМЗ предусмотрена возможность регулирования напряжения по пяти ступеням. Переключение на другой диапазон напряжения проводится высоковольтным переключателем в ручном режиме при отключенном от сети трансформаторе со стороны ВН и НН с диапазоном регулирования ±2х2,5% от номинального напряжения. Место нахождение имущества: Свердловская обл., г. Тавда, ул. Лесопильщиков, 2А (здание подстанции). Начальная цена 420 000 руб.00коп..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420 000.00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ООО "ДАР".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