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4986–ОАОФКС/1/10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10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«18»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4986-ОАОФКС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ООО "ДАР";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10</w:t>
      </w:r>
      <w:r w:rsidRPr="000F798D">
        <w:rPr>
          <w:rFonts w:eastAsia="Times New Roman"/>
        </w:rPr>
        <w:t>: Право на заключение договора аренды нежилого здания: административное здание, расположенное по адресу: Свердловская обл., г. Тавда, ул. 9 Января, д. 138, кадастровый номер 66:27:1102022:391, площадь 75,4 кв.м. литер: Б (здание хлебзавода).  Вид договора: договор аренды. Порядок арендной платы: ежемесячный платеж. Оплата арендных платежей производится ежемесячно не позднее 20-го числа оплачиваемого (текущего) месяца по следующим реквизитам: ООО «Банк Точка» г. Москва, р /счет 40702810302500071634, к/ счет 30101810745374525104, БИК 044525104. Срок действия договора 5 лет. Срок, в течение которого должен быть подписан проект договора: проект договора должен быть подписан сторонами не ранее чем через 10 дней со дня размещения протокола подведения результатов торгов на ЭТП. Начальная цена за ежемесячный арендный платеж: 39 208 руб.00коп..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39 208.00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ООО "ДАР".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"Оптимальные торговые решения".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«21» июля 2025г. 11:00:00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«18» августа 2025г. 11:00:00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ВАСИЛИЙ ВИКТОРОВИЧ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