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4949–ОАОФКС/2/2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4949-ОАОФКС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средство. Модель: HAVAL Jolion. Тип КПП: АКПП. VIN XZGFE04A8PA869515. Гос. номер: С886ОМ198. Объем двигателя (л.): 1,5. Мощность двигателя (л.с.): 150. Год выпуска: 2023. Начальная цена: 1 172 150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1 172 150.00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4949–ОАОФКС/1/2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11:02:46;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Юденков Павел Викторович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(ИНН:400489496286)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«4»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10:17:06;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1 183 871.50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1 183 871.50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11:52:12.891692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Юденков Павел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1 183 871.50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(Юденков Павел Викторович)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