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F0F4" w14:textId="626E3B63" w:rsidR="00F70AB2" w:rsidRPr="009D3104" w:rsidRDefault="00F70AB2" w:rsidP="002F65B7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Cs/>
          <w:i/>
          <w:iCs/>
          <w:sz w:val="22"/>
          <w:szCs w:val="22"/>
        </w:rPr>
        <w:t>Приложение №</w:t>
      </w:r>
      <w:r w:rsidR="00125B09">
        <w:rPr>
          <w:rFonts w:ascii="Bookman Old Style" w:hAnsi="Bookman Old Style"/>
          <w:bCs/>
          <w:i/>
          <w:iCs/>
          <w:sz w:val="22"/>
          <w:szCs w:val="22"/>
        </w:rPr>
        <w:t>1</w:t>
      </w:r>
      <w:r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="00125B09">
        <w:rPr>
          <w:rFonts w:ascii="Bookman Old Style" w:hAnsi="Bookman Old Style"/>
          <w:bCs/>
          <w:i/>
          <w:iCs/>
          <w:sz w:val="22"/>
          <w:szCs w:val="22"/>
        </w:rPr>
        <w:t xml:space="preserve">от </w:t>
      </w:r>
      <w:r w:rsidR="00F72517">
        <w:rPr>
          <w:rFonts w:ascii="Bookman Old Style" w:hAnsi="Bookman Old Style"/>
          <w:bCs/>
          <w:i/>
          <w:iCs/>
          <w:sz w:val="22"/>
          <w:szCs w:val="22"/>
        </w:rPr>
        <w:t>18</w:t>
      </w:r>
      <w:r w:rsidR="00125B09">
        <w:rPr>
          <w:rFonts w:ascii="Bookman Old Style" w:hAnsi="Bookman Old Style"/>
          <w:bCs/>
          <w:i/>
          <w:iCs/>
          <w:sz w:val="22"/>
          <w:szCs w:val="22"/>
        </w:rPr>
        <w:t>.07.2025</w:t>
      </w:r>
    </w:p>
    <w:p w14:paraId="5A1D6D5A" w14:textId="63A7B7EA" w:rsidR="00F70AB2" w:rsidRPr="009D3104" w:rsidRDefault="00F1531B" w:rsidP="002F65B7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Cs/>
          <w:i/>
          <w:iCs/>
          <w:sz w:val="22"/>
          <w:szCs w:val="22"/>
        </w:rPr>
        <w:t>к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Договору оказания услуг №</w:t>
      </w:r>
      <w:r w:rsidR="00B013AF" w:rsidRPr="009D3104">
        <w:rPr>
          <w:rFonts w:ascii="Bookman Old Style" w:hAnsi="Bookman Old Style"/>
          <w:bCs/>
          <w:i/>
          <w:iCs/>
          <w:sz w:val="22"/>
          <w:szCs w:val="22"/>
        </w:rPr>
        <w:t>16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от </w:t>
      </w:r>
      <w:r w:rsidR="00125B09">
        <w:rPr>
          <w:rFonts w:ascii="Bookman Old Style" w:hAnsi="Bookman Old Style"/>
          <w:bCs/>
          <w:i/>
          <w:iCs/>
          <w:sz w:val="22"/>
          <w:szCs w:val="22"/>
        </w:rPr>
        <w:t>30</w:t>
      </w:r>
      <w:r w:rsidR="00B013AF" w:rsidRPr="009D3104">
        <w:rPr>
          <w:rFonts w:ascii="Bookman Old Style" w:hAnsi="Bookman Old Style"/>
          <w:bCs/>
          <w:i/>
          <w:iCs/>
          <w:sz w:val="22"/>
          <w:szCs w:val="22"/>
        </w:rPr>
        <w:t>.05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>.2025г.</w:t>
      </w:r>
    </w:p>
    <w:p w14:paraId="240DA03F" w14:textId="77777777" w:rsidR="00F70AB2" w:rsidRPr="009D3104" w:rsidRDefault="00F70AB2" w:rsidP="002F65B7">
      <w:pPr>
        <w:spacing w:line="360" w:lineRule="auto"/>
        <w:ind w:left="14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1E2E42B" w14:textId="7B2F7956" w:rsidR="004426B6" w:rsidRPr="009D3104" w:rsidRDefault="00F1531B" w:rsidP="002F65B7">
      <w:pPr>
        <w:spacing w:line="360" w:lineRule="auto"/>
        <w:ind w:left="142"/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 xml:space="preserve">Поручение на проведение торгов </w:t>
      </w:r>
    </w:p>
    <w:p w14:paraId="58583543" w14:textId="61D2153D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Заказчик</w:t>
      </w:r>
      <w:r w:rsidR="00B04646" w:rsidRPr="009D310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527BD" w:rsidRPr="009D3104">
        <w:rPr>
          <w:rFonts w:ascii="Bookman Old Style" w:hAnsi="Bookman Old Style"/>
          <w:b/>
          <w:bCs/>
          <w:sz w:val="22"/>
          <w:szCs w:val="22"/>
        </w:rPr>
        <w:t xml:space="preserve">– </w:t>
      </w:r>
      <w:r w:rsidR="00B369E8" w:rsidRPr="009D3104">
        <w:rPr>
          <w:rFonts w:ascii="Bookman Old Style" w:hAnsi="Bookman Old Style"/>
          <w:b/>
          <w:bCs/>
          <w:sz w:val="22"/>
          <w:szCs w:val="22"/>
        </w:rPr>
        <w:t>Общество с ограниченной ответственностью «ДАР» (ООО «ДАР»)</w:t>
      </w:r>
      <w:r w:rsidR="00B369E8" w:rsidRPr="009D3104">
        <w:rPr>
          <w:rFonts w:ascii="Book Antiqua" w:hAnsi="Book Antiqua"/>
          <w:b/>
          <w:bCs/>
          <w:szCs w:val="22"/>
        </w:rPr>
        <w:t xml:space="preserve">, </w:t>
      </w:r>
      <w:r w:rsidR="00B369E8" w:rsidRPr="009D3104">
        <w:rPr>
          <w:rFonts w:ascii="Book Antiqua" w:hAnsi="Book Antiqua"/>
          <w:bCs/>
          <w:szCs w:val="22"/>
        </w:rPr>
        <w:t>в лице директора Филимонова Александра Витальевича</w:t>
      </w:r>
      <w:r w:rsidR="00B369E8" w:rsidRPr="009D3104">
        <w:rPr>
          <w:rFonts w:ascii="Book Antiqua" w:hAnsi="Book Antiqua"/>
          <w:szCs w:val="22"/>
        </w:rPr>
        <w:t xml:space="preserve">, действующего на основании Устава, </w:t>
      </w:r>
      <w:r w:rsidRPr="009D3104">
        <w:rPr>
          <w:rFonts w:ascii="Bookman Old Style" w:hAnsi="Bookman Old Style"/>
          <w:sz w:val="22"/>
          <w:szCs w:val="22"/>
        </w:rPr>
        <w:t xml:space="preserve">поручает 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Организатору торгов</w:t>
      </w:r>
      <w:r w:rsidRPr="009D3104">
        <w:rPr>
          <w:rFonts w:ascii="Bookman Old Style" w:hAnsi="Bookman Old Style"/>
          <w:sz w:val="22"/>
          <w:szCs w:val="22"/>
        </w:rPr>
        <w:t xml:space="preserve"> - 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о</w:t>
      </w:r>
      <w:r w:rsidRPr="009D3104">
        <w:rPr>
          <w:rFonts w:ascii="Bookman Old Style" w:hAnsi="Bookman Old Style"/>
          <w:b/>
          <w:bCs/>
          <w:sz w:val="22"/>
          <w:szCs w:val="22"/>
        </w:rPr>
        <w:t>бществ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у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 с ограниченной ответственностью «Оптимальные торговые решения»</w:t>
      </w:r>
      <w:r w:rsidR="00B369E8" w:rsidRPr="009D3104">
        <w:rPr>
          <w:rFonts w:ascii="Bookman Old Style" w:hAnsi="Bookman Old Style"/>
          <w:b/>
          <w:bCs/>
          <w:sz w:val="22"/>
          <w:szCs w:val="22"/>
        </w:rPr>
        <w:t xml:space="preserve"> (ООО «О.ТР»)</w:t>
      </w:r>
      <w:r w:rsidRPr="009D3104">
        <w:rPr>
          <w:rFonts w:ascii="Bookman Old Style" w:hAnsi="Bookman Old Style"/>
          <w:sz w:val="22"/>
          <w:szCs w:val="22"/>
        </w:rPr>
        <w:t xml:space="preserve">, в лице </w:t>
      </w:r>
      <w:r w:rsidR="00B369E8" w:rsidRPr="009D3104">
        <w:rPr>
          <w:rFonts w:ascii="Bookman Old Style" w:hAnsi="Bookman Old Style"/>
          <w:sz w:val="22"/>
          <w:szCs w:val="22"/>
        </w:rPr>
        <w:t>г</w:t>
      </w:r>
      <w:r w:rsidRPr="009D3104">
        <w:rPr>
          <w:rFonts w:ascii="Bookman Old Style" w:hAnsi="Bookman Old Style"/>
          <w:sz w:val="22"/>
          <w:szCs w:val="22"/>
        </w:rPr>
        <w:t>енерального директора Порхунова Василия Викторовича</w:t>
      </w:r>
      <w:r w:rsidR="00B17BC3" w:rsidRPr="009D3104">
        <w:rPr>
          <w:rFonts w:ascii="Bookman Old Style" w:hAnsi="Bookman Old Style"/>
          <w:sz w:val="22"/>
          <w:szCs w:val="22"/>
        </w:rPr>
        <w:t>,</w:t>
      </w:r>
      <w:r w:rsidRPr="009D3104">
        <w:rPr>
          <w:rFonts w:ascii="Bookman Old Style" w:hAnsi="Bookman Old Style"/>
          <w:sz w:val="22"/>
          <w:szCs w:val="22"/>
        </w:rPr>
        <w:t xml:space="preserve"> провести </w:t>
      </w:r>
      <w:r w:rsidR="00B17BC3" w:rsidRPr="009D3104">
        <w:rPr>
          <w:rFonts w:ascii="Bookman Old Style" w:hAnsi="Bookman Old Style"/>
          <w:sz w:val="22"/>
          <w:szCs w:val="22"/>
        </w:rPr>
        <w:t xml:space="preserve">следующие </w:t>
      </w:r>
      <w:r w:rsidRPr="009D3104">
        <w:rPr>
          <w:rFonts w:ascii="Bookman Old Style" w:hAnsi="Bookman Old Style"/>
          <w:sz w:val="22"/>
          <w:szCs w:val="22"/>
        </w:rPr>
        <w:t xml:space="preserve">торги </w:t>
      </w:r>
      <w:r w:rsidR="00C64FA9" w:rsidRPr="009D3104">
        <w:rPr>
          <w:rFonts w:ascii="Bookman Old Style" w:hAnsi="Bookman Old Style"/>
          <w:sz w:val="22"/>
          <w:szCs w:val="22"/>
        </w:rPr>
        <w:t xml:space="preserve">по продаже </w:t>
      </w:r>
      <w:r w:rsidRPr="009D3104">
        <w:rPr>
          <w:rFonts w:ascii="Bookman Old Style" w:hAnsi="Bookman Old Style"/>
          <w:sz w:val="22"/>
          <w:szCs w:val="22"/>
        </w:rPr>
        <w:t>имуществ</w:t>
      </w:r>
      <w:r w:rsidR="00C64FA9" w:rsidRPr="009D3104">
        <w:rPr>
          <w:rFonts w:ascii="Bookman Old Style" w:hAnsi="Bookman Old Style"/>
          <w:sz w:val="22"/>
          <w:szCs w:val="22"/>
        </w:rPr>
        <w:t>а</w:t>
      </w:r>
      <w:r w:rsidRPr="009D3104">
        <w:rPr>
          <w:rFonts w:ascii="Bookman Old Style" w:hAnsi="Bookman Old Style"/>
          <w:sz w:val="22"/>
          <w:szCs w:val="22"/>
        </w:rPr>
        <w:t xml:space="preserve"> Заказчика</w:t>
      </w:r>
      <w:r w:rsidR="00B17BC3" w:rsidRPr="009D3104">
        <w:rPr>
          <w:rFonts w:ascii="Bookman Old Style" w:hAnsi="Bookman Old Style"/>
          <w:sz w:val="22"/>
          <w:szCs w:val="22"/>
        </w:rPr>
        <w:t>:</w:t>
      </w:r>
    </w:p>
    <w:p w14:paraId="2391A9F2" w14:textId="77777777" w:rsidR="00B17BC3" w:rsidRPr="009D3104" w:rsidRDefault="00B17BC3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</w:p>
    <w:p w14:paraId="4B003DE8" w14:textId="77777777" w:rsidR="004426B6" w:rsidRPr="009D3104" w:rsidRDefault="004426B6" w:rsidP="002F65B7">
      <w:pPr>
        <w:pStyle w:val="a7"/>
        <w:tabs>
          <w:tab w:val="left" w:pos="389"/>
          <w:tab w:val="left" w:pos="1793"/>
        </w:tabs>
        <w:ind w:left="142"/>
        <w:jc w:val="both"/>
        <w:rPr>
          <w:rFonts w:ascii="Bookman Old Style" w:hAnsi="Bookman Old Style"/>
          <w:b/>
          <w:bCs/>
        </w:rPr>
      </w:pPr>
      <w:r w:rsidRPr="009D3104">
        <w:rPr>
          <w:rFonts w:ascii="Bookman Old Style" w:hAnsi="Bookman Old Style"/>
          <w:b/>
          <w:bCs/>
        </w:rPr>
        <w:t>1.</w:t>
      </w:r>
      <w:r w:rsidRPr="009D3104">
        <w:rPr>
          <w:rFonts w:ascii="Bookman Old Style" w:hAnsi="Bookman Old Style"/>
          <w:b/>
          <w:bCs/>
        </w:rPr>
        <w:tab/>
        <w:t>Тип торгов:</w:t>
      </w:r>
      <w:r w:rsidRPr="009D3104">
        <w:rPr>
          <w:rFonts w:ascii="Bookman Old Style" w:hAnsi="Bookman Old Style"/>
          <w:b/>
          <w:bCs/>
        </w:rPr>
        <w:tab/>
        <w:t>открытый аукцион с открытой формой представления предложений о цене.</w:t>
      </w:r>
    </w:p>
    <w:p w14:paraId="26170484" w14:textId="279480B2" w:rsidR="006F3B51" w:rsidRPr="009D3104" w:rsidRDefault="004426B6" w:rsidP="002F65B7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2.</w:t>
      </w:r>
      <w:r w:rsidRPr="009D3104">
        <w:rPr>
          <w:rFonts w:ascii="Bookman Old Style" w:hAnsi="Bookman Old Style"/>
          <w:sz w:val="22"/>
          <w:szCs w:val="22"/>
        </w:rPr>
        <w:tab/>
      </w:r>
      <w:r w:rsidRPr="009D3104">
        <w:rPr>
          <w:rFonts w:ascii="Bookman Old Style" w:hAnsi="Bookman Old Style"/>
          <w:b/>
          <w:bCs/>
          <w:sz w:val="22"/>
          <w:szCs w:val="22"/>
        </w:rPr>
        <w:t>Описание лотов:</w:t>
      </w:r>
      <w:r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2B77FC85" w14:textId="77777777" w:rsidR="00115D7A" w:rsidRPr="009D3104" w:rsidRDefault="00115D7A" w:rsidP="002F65B7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2E20335F" w14:textId="72CDFAE4" w:rsidR="006F3B51" w:rsidRPr="009D3104" w:rsidRDefault="006F3B51" w:rsidP="002F65B7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1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="00B369E8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Нежилое помещение, общей площадью 14.8 кв.м., кадастровый номер 66:02:2401012:254, расположенное по адресу: Свердловская область, г. Артёмовский, ул. Физкультурников, д. 7. В помещении выполнен монтаж -тёплые полы (центральная система отопления всего дома проходит под полом этого помещения), центральный водопровод, центральная канализация. эл. энергия 220V</w:t>
      </w:r>
      <w:r w:rsidR="00B807A5">
        <w:rPr>
          <w:rFonts w:ascii="Bookman Old Style" w:hAnsi="Bookman Old Style"/>
          <w:sz w:val="22"/>
          <w:szCs w:val="22"/>
        </w:rPr>
        <w:t>,</w:t>
      </w:r>
      <w:r w:rsidR="00B369E8" w:rsidRPr="009D3104">
        <w:rPr>
          <w:rFonts w:ascii="Bookman Old Style" w:hAnsi="Bookman Old Style"/>
          <w:sz w:val="22"/>
          <w:szCs w:val="22"/>
        </w:rPr>
        <w:t xml:space="preserve"> разрешённая мощность 5 кВ</w:t>
      </w:r>
      <w:r w:rsidR="00B807A5">
        <w:rPr>
          <w:rFonts w:ascii="Bookman Old Style" w:hAnsi="Bookman Old Style"/>
          <w:sz w:val="22"/>
          <w:szCs w:val="22"/>
        </w:rPr>
        <w:t>,</w:t>
      </w:r>
      <w:r w:rsidR="00B369E8" w:rsidRPr="009D3104">
        <w:rPr>
          <w:rFonts w:ascii="Bookman Old Style" w:hAnsi="Bookman Old Style"/>
          <w:sz w:val="22"/>
          <w:szCs w:val="22"/>
        </w:rPr>
        <w:t xml:space="preserve"> автоматика на 16А. </w:t>
      </w:r>
      <w:r w:rsidR="00F12D28" w:rsidRPr="009D3104">
        <w:rPr>
          <w:rFonts w:ascii="Bookman Old Style" w:hAnsi="Bookman Old Style"/>
          <w:sz w:val="22"/>
          <w:szCs w:val="22"/>
        </w:rPr>
        <w:t>Начальная</w:t>
      </w:r>
      <w:r w:rsidR="00F12D28" w:rsidRPr="009D310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3104">
        <w:rPr>
          <w:rStyle w:val="blk3"/>
          <w:rFonts w:ascii="Book Antiqua" w:hAnsi="Book Antiqua"/>
          <w:szCs w:val="22"/>
        </w:rPr>
        <w:t xml:space="preserve">цена </w:t>
      </w:r>
      <w:r w:rsidR="008527BD" w:rsidRPr="009D3104">
        <w:rPr>
          <w:rStyle w:val="blk3"/>
          <w:rFonts w:ascii="Book Antiqua" w:hAnsi="Book Antiqua"/>
          <w:b/>
          <w:szCs w:val="22"/>
        </w:rPr>
        <w:t>5</w:t>
      </w:r>
      <w:r w:rsidR="009231CD">
        <w:rPr>
          <w:rStyle w:val="blk3"/>
          <w:rFonts w:ascii="Book Antiqua" w:hAnsi="Book Antiqua"/>
          <w:b/>
          <w:szCs w:val="22"/>
        </w:rPr>
        <w:t>05</w:t>
      </w:r>
      <w:r w:rsidRPr="009D3104">
        <w:rPr>
          <w:rStyle w:val="blk3"/>
          <w:rFonts w:ascii="Book Antiqua" w:hAnsi="Book Antiqua"/>
          <w:b/>
          <w:szCs w:val="22"/>
        </w:rPr>
        <w:t xml:space="preserve"> 000 </w:t>
      </w:r>
      <w:r w:rsidR="00273008" w:rsidRPr="009D3104">
        <w:rPr>
          <w:rStyle w:val="blk3"/>
          <w:rFonts w:ascii="Book Antiqua" w:hAnsi="Book Antiqua"/>
          <w:b/>
          <w:szCs w:val="22"/>
        </w:rPr>
        <w:t>руб.00коп.</w:t>
      </w:r>
    </w:p>
    <w:p w14:paraId="3DFA80CC" w14:textId="77777777" w:rsidR="000E34FF" w:rsidRPr="009D3104" w:rsidRDefault="000E34FF" w:rsidP="002F65B7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31DD535B" w14:textId="6B82CA5D" w:rsidR="006F3B51" w:rsidRPr="009D3104" w:rsidRDefault="006F3B51" w:rsidP="002F65B7">
      <w:pPr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2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="00F12D28" w:rsidRPr="009D3104">
        <w:rPr>
          <w:rStyle w:val="blk3"/>
          <w:rFonts w:ascii="Book Antiqua" w:hAnsi="Book Antiqua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Трансформатор ТМ  1000/10 (6)/0,4. Характеристики: Номинальная мощность: 1000 кВА, номинальное напряжение обмотки НН: 0,4 кВ.</w:t>
      </w:r>
      <w:r w:rsidR="00115D7A" w:rsidRPr="009D3104">
        <w:rPr>
          <w:rFonts w:ascii="Bookman Old Style" w:hAnsi="Bookman Old Style"/>
          <w:sz w:val="22"/>
          <w:szCs w:val="22"/>
        </w:rPr>
        <w:t>, н</w:t>
      </w:r>
      <w:r w:rsidR="00B369E8" w:rsidRPr="009D3104">
        <w:rPr>
          <w:rFonts w:ascii="Bookman Old Style" w:hAnsi="Bookman Old Style"/>
          <w:sz w:val="22"/>
          <w:szCs w:val="22"/>
        </w:rPr>
        <w:t>оминальное напряжение обмотки ВН: 6 (10) кВ.</w:t>
      </w:r>
      <w:r w:rsidR="00115D7A" w:rsidRPr="009D3104">
        <w:rPr>
          <w:rFonts w:ascii="Bookman Old Style" w:hAnsi="Bookman Old Style"/>
          <w:sz w:val="22"/>
          <w:szCs w:val="22"/>
        </w:rPr>
        <w:t>, с</w:t>
      </w:r>
      <w:r w:rsidR="00B369E8" w:rsidRPr="009D3104">
        <w:rPr>
          <w:rFonts w:ascii="Bookman Old Style" w:hAnsi="Bookman Old Style"/>
          <w:sz w:val="22"/>
          <w:szCs w:val="22"/>
        </w:rPr>
        <w:t>хема и группа соединения обмоток: Д/Ун-11 или У/Ун-0</w:t>
      </w:r>
      <w:r w:rsidR="00115D7A" w:rsidRPr="009D3104">
        <w:rPr>
          <w:rFonts w:ascii="Bookman Old Style" w:hAnsi="Bookman Old Style"/>
          <w:sz w:val="22"/>
          <w:szCs w:val="22"/>
        </w:rPr>
        <w:t>, т</w:t>
      </w:r>
      <w:r w:rsidR="00B369E8" w:rsidRPr="009D3104">
        <w:rPr>
          <w:rFonts w:ascii="Bookman Old Style" w:hAnsi="Bookman Old Style"/>
          <w:sz w:val="22"/>
          <w:szCs w:val="22"/>
        </w:rPr>
        <w:t>ип регулирования напряжения: ПБВ</w:t>
      </w:r>
      <w:r w:rsidR="00115D7A" w:rsidRPr="009D3104">
        <w:rPr>
          <w:rFonts w:ascii="Bookman Old Style" w:hAnsi="Bookman Old Style"/>
          <w:sz w:val="22"/>
          <w:szCs w:val="22"/>
        </w:rPr>
        <w:t>, д</w:t>
      </w:r>
      <w:r w:rsidR="00B369E8" w:rsidRPr="009D3104">
        <w:rPr>
          <w:rFonts w:ascii="Bookman Old Style" w:hAnsi="Bookman Old Style"/>
          <w:sz w:val="22"/>
          <w:szCs w:val="22"/>
        </w:rPr>
        <w:t>иапазон регулирования: ±2х2,5%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атериал обмоток: алюминий</w:t>
      </w:r>
      <w:r w:rsidR="00115D7A" w:rsidRPr="009D3104">
        <w:rPr>
          <w:rFonts w:ascii="Bookman Old Style" w:hAnsi="Bookman Old Style"/>
          <w:sz w:val="22"/>
          <w:szCs w:val="22"/>
        </w:rPr>
        <w:t>, п</w:t>
      </w:r>
      <w:r w:rsidR="00B369E8" w:rsidRPr="009D3104">
        <w:rPr>
          <w:rFonts w:ascii="Bookman Old Style" w:hAnsi="Bookman Old Style"/>
          <w:sz w:val="22"/>
          <w:szCs w:val="22"/>
        </w:rPr>
        <w:t>отери короткого замыкания: 12200 Вт</w:t>
      </w:r>
      <w:r w:rsidR="00115D7A" w:rsidRPr="009D3104">
        <w:rPr>
          <w:rFonts w:ascii="Bookman Old Style" w:hAnsi="Bookman Old Style"/>
          <w:sz w:val="22"/>
          <w:szCs w:val="22"/>
        </w:rPr>
        <w:t>, п</w:t>
      </w:r>
      <w:r w:rsidR="00B369E8" w:rsidRPr="009D3104">
        <w:rPr>
          <w:rFonts w:ascii="Bookman Old Style" w:hAnsi="Bookman Old Style"/>
          <w:sz w:val="22"/>
          <w:szCs w:val="22"/>
        </w:rPr>
        <w:t>отери холостого хода: 1470 Вт</w:t>
      </w:r>
      <w:r w:rsidR="00115D7A" w:rsidRPr="009D3104">
        <w:rPr>
          <w:rFonts w:ascii="Bookman Old Style" w:hAnsi="Bookman Old Style"/>
          <w:sz w:val="22"/>
          <w:szCs w:val="22"/>
        </w:rPr>
        <w:t>, т</w:t>
      </w:r>
      <w:r w:rsidR="00B369E8" w:rsidRPr="009D3104">
        <w:rPr>
          <w:rFonts w:ascii="Bookman Old Style" w:hAnsi="Bookman Old Style"/>
          <w:sz w:val="22"/>
          <w:szCs w:val="22"/>
        </w:rPr>
        <w:t>ок холостого хода: 0,8%</w:t>
      </w:r>
      <w:r w:rsidR="00115D7A" w:rsidRPr="009D3104">
        <w:rPr>
          <w:rFonts w:ascii="Bookman Old Style" w:hAnsi="Bookman Old Style"/>
          <w:sz w:val="22"/>
          <w:szCs w:val="22"/>
        </w:rPr>
        <w:t>, к</w:t>
      </w:r>
      <w:r w:rsidR="00B369E8" w:rsidRPr="009D3104">
        <w:rPr>
          <w:rFonts w:ascii="Bookman Old Style" w:hAnsi="Bookman Old Style"/>
          <w:sz w:val="22"/>
          <w:szCs w:val="22"/>
        </w:rPr>
        <w:t>лиматическое исполнение и категория размещения: У1 (У3)</w:t>
      </w:r>
      <w:r w:rsidR="00115D7A" w:rsidRPr="009D3104">
        <w:rPr>
          <w:rFonts w:ascii="Bookman Old Style" w:hAnsi="Bookman Old Style"/>
          <w:sz w:val="22"/>
          <w:szCs w:val="22"/>
        </w:rPr>
        <w:t>, н</w:t>
      </w:r>
      <w:r w:rsidR="00B369E8" w:rsidRPr="009D3104">
        <w:rPr>
          <w:rFonts w:ascii="Bookman Old Style" w:hAnsi="Bookman Old Style"/>
          <w:sz w:val="22"/>
          <w:szCs w:val="22"/>
        </w:rPr>
        <w:t>оминальная частота: 50 Гц</w:t>
      </w:r>
      <w:r w:rsidR="00115D7A" w:rsidRPr="009D3104">
        <w:rPr>
          <w:rFonts w:ascii="Bookman Old Style" w:hAnsi="Bookman Old Style"/>
          <w:sz w:val="22"/>
          <w:szCs w:val="22"/>
        </w:rPr>
        <w:t>, г</w:t>
      </w:r>
      <w:r w:rsidR="00B369E8" w:rsidRPr="009D3104">
        <w:rPr>
          <w:rFonts w:ascii="Bookman Old Style" w:hAnsi="Bookman Old Style"/>
          <w:sz w:val="22"/>
          <w:szCs w:val="22"/>
        </w:rPr>
        <w:t>абариты (ДхШхВ): 1900х1235х1825 мм (без катков)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асса (полная): 4500 кг.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асса (масла): 1330 кг.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 xml:space="preserve">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</w:t>
      </w:r>
      <w:r w:rsidR="00115D7A" w:rsidRPr="009D3104">
        <w:rPr>
          <w:rFonts w:ascii="Bookman Old Style" w:hAnsi="Bookman Old Style"/>
          <w:sz w:val="22"/>
          <w:szCs w:val="22"/>
        </w:rPr>
        <w:t>так же</w:t>
      </w:r>
      <w:r w:rsidR="00B369E8" w:rsidRPr="009D3104">
        <w:rPr>
          <w:rFonts w:ascii="Bookman Old Style" w:hAnsi="Bookman Old Style"/>
          <w:sz w:val="22"/>
          <w:szCs w:val="22"/>
        </w:rPr>
        <w:t xml:space="preserve"> для питания различных потребителей в сетях переменного тока частотой 50 Гц.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Защищенные понижающие трехфазные трансформаторы ТМ выпускаются мощностью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</w:t>
      </w:r>
      <w:r w:rsidR="00115D7A" w:rsidRPr="009D3104">
        <w:rPr>
          <w:rFonts w:ascii="Bookman Old Style" w:hAnsi="Bookman Old Style"/>
          <w:sz w:val="22"/>
          <w:szCs w:val="22"/>
        </w:rPr>
        <w:t xml:space="preserve"> Трансформаторы ТМ изготавливаются в соответствии со стандартом МЭК-76 и ГОСТ 16555-75.</w:t>
      </w:r>
      <w:r w:rsidR="00B807A5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06463A" w:rsidRPr="009D3104">
        <w:rPr>
          <w:rFonts w:ascii="Book Antiqua" w:hAnsi="Book Antiqua"/>
        </w:rPr>
        <w:t xml:space="preserve"> </w:t>
      </w:r>
      <w:r w:rsidR="002F65B7" w:rsidRPr="002F65B7">
        <w:rPr>
          <w:rFonts w:ascii="Book Antiqua" w:hAnsi="Book Antiqua"/>
        </w:rPr>
        <w:t>Место нахождение имущества: Свердловская обл., г. Тавда, ул. Лесопильщиков, 2А (здание подстанции)</w:t>
      </w:r>
      <w:r w:rsidR="002F65B7">
        <w:rPr>
          <w:rFonts w:ascii="Book Antiqua" w:hAnsi="Book Antiqua"/>
        </w:rPr>
        <w:t xml:space="preserve">. </w:t>
      </w:r>
      <w:r w:rsidR="00F12D28"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="00F12D28" w:rsidRPr="009D3104">
        <w:rPr>
          <w:rStyle w:val="blk3"/>
          <w:rFonts w:ascii="Book Antiqua" w:hAnsi="Book Antiqua"/>
          <w:szCs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9231CD">
        <w:rPr>
          <w:rStyle w:val="blk3"/>
          <w:rFonts w:ascii="Book Antiqua" w:hAnsi="Book Antiqua"/>
          <w:b/>
          <w:bCs/>
          <w:szCs w:val="22"/>
        </w:rPr>
        <w:t>720</w:t>
      </w:r>
      <w:r w:rsidR="00115D7A" w:rsidRPr="009D3104">
        <w:rPr>
          <w:rStyle w:val="blk3"/>
          <w:rFonts w:ascii="Book Antiqua" w:hAnsi="Book Antiqua"/>
          <w:b/>
          <w:bCs/>
          <w:szCs w:val="22"/>
        </w:rPr>
        <w:t xml:space="preserve"> 000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273008" w:rsidRPr="009D3104">
        <w:rPr>
          <w:rStyle w:val="blk3"/>
          <w:rFonts w:ascii="Book Antiqua" w:hAnsi="Book Antiqua"/>
          <w:b/>
          <w:bCs/>
          <w:szCs w:val="22"/>
        </w:rPr>
        <w:t>руб.00коп.</w:t>
      </w:r>
    </w:p>
    <w:p w14:paraId="4B7DEAAB" w14:textId="658B5B9E" w:rsidR="00213507" w:rsidRPr="009D3104" w:rsidRDefault="00213507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3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Pr="009D3104">
        <w:rPr>
          <w:rStyle w:val="blk3"/>
          <w:rFonts w:ascii="Book Antiqua" w:hAnsi="Book Antiqua"/>
          <w:szCs w:val="22"/>
        </w:rPr>
        <w:t xml:space="preserve"> </w:t>
      </w:r>
      <w:r w:rsidR="000E34FF" w:rsidRPr="009D3104">
        <w:rPr>
          <w:rFonts w:ascii="Bookman Old Style" w:hAnsi="Bookman Old Style"/>
          <w:sz w:val="22"/>
          <w:szCs w:val="22"/>
        </w:rPr>
        <w:t>Медный трансформатор FTDO-1000/6/0,4</w:t>
      </w:r>
      <w:r w:rsidRPr="009D3104">
        <w:rPr>
          <w:rFonts w:ascii="Bookman Old Style" w:hAnsi="Bookman Old Style"/>
          <w:sz w:val="22"/>
          <w:szCs w:val="22"/>
        </w:rPr>
        <w:t xml:space="preserve">. Характеристики: </w:t>
      </w:r>
      <w:r w:rsidR="000E34FF" w:rsidRPr="009D3104">
        <w:rPr>
          <w:rFonts w:ascii="Bookman Old Style" w:hAnsi="Bookman Old Style"/>
          <w:sz w:val="22"/>
          <w:szCs w:val="22"/>
        </w:rPr>
        <w:t>н</w:t>
      </w:r>
      <w:r w:rsidR="000E34FF" w:rsidRPr="00004157">
        <w:rPr>
          <w:rFonts w:ascii="Bookman Old Style" w:hAnsi="Bookman Old Style"/>
          <w:sz w:val="22"/>
          <w:szCs w:val="22"/>
        </w:rPr>
        <w:t>апряжение НН 0,4 кВ, тип ТМГ, серия ТМГ 1000, тип трансформатора: масляные трансформаторы,  в герметичной оболочке, напряжение ВН 35 кВ, мощность 1000 кВА, размеры ДхГхВ, мм:2008x1148x1735, масса масла 700 кг., полная масса 3150 кг., ток холостого хода (lx.x.) 0.8%, напряжение короткого замыкания ВН-НН 5.5%, номинальная частота 50, регулирование напряжения ПБВ ±2x2.5%, дата изготовления  1965, мощность 1000 ВА, дата кап ремонта: июнь 2021 г.</w:t>
      </w:r>
      <w:r w:rsidR="009D329D" w:rsidRPr="00004157">
        <w:rPr>
          <w:rFonts w:ascii="Bookman Old Style" w:hAnsi="Bookman Old Style"/>
          <w:sz w:val="22"/>
          <w:szCs w:val="22"/>
        </w:rPr>
        <w:t xml:space="preserve"> Трансформатор -1000 - силовой масляный трансформатор мощностью 1000 кВА с </w:t>
      </w:r>
      <w:r w:rsidR="009147FD" w:rsidRPr="00004157">
        <w:rPr>
          <w:rFonts w:ascii="Bookman Old Style" w:hAnsi="Bookman Old Style"/>
          <w:sz w:val="22"/>
          <w:szCs w:val="22"/>
        </w:rPr>
        <w:t>маслорасширительным</w:t>
      </w:r>
      <w:r w:rsidR="009D329D" w:rsidRPr="00004157">
        <w:rPr>
          <w:rFonts w:ascii="Bookman Old Style" w:hAnsi="Bookman Old Style"/>
          <w:sz w:val="22"/>
          <w:szCs w:val="22"/>
        </w:rPr>
        <w:t xml:space="preserve"> баком предназначен для понижения напряжения с 35кВ; 20кВ; 10кВ; 6кВ; до 0,4 кВ. В трансформаторе изменение объема масла внутри бака компенсируется за счет сообщения с окружающей </w:t>
      </w:r>
      <w:r w:rsidR="009D329D" w:rsidRPr="00004157">
        <w:rPr>
          <w:rFonts w:ascii="Bookman Old Style" w:hAnsi="Bookman Old Style"/>
          <w:sz w:val="22"/>
          <w:szCs w:val="22"/>
        </w:rPr>
        <w:lastRenderedPageBreak/>
        <w:t xml:space="preserve">средой через расширитель. Активная часть состоит из магнитопровода собранного по технологии Step-Lap, обмоток ВН и НН, нижних и верхних ярмовых прессующих балок, отводов ВН и НН, реечного переключателя ПТРЛ обмотки ВН. Номинальная частота: 50 Гц. Календарный срок службы не менее 25 лет. В рабочем состоянии. </w:t>
      </w:r>
      <w:r w:rsidR="002F65B7" w:rsidRPr="002F65B7">
        <w:rPr>
          <w:rFonts w:ascii="Book Antiqua" w:hAnsi="Book Antiqua"/>
        </w:rPr>
        <w:t>Место нахождение имущества: Свердловская обл., г. Тавда, ул. Лесопильщиков, 2А (здание подстанции)</w:t>
      </w:r>
      <w:r w:rsidR="002F65B7">
        <w:rPr>
          <w:rFonts w:ascii="Book Antiqua" w:hAnsi="Book Antiqua"/>
        </w:rPr>
        <w:t>.</w:t>
      </w:r>
      <w:r w:rsidR="00B807A5">
        <w:rPr>
          <w:rFonts w:ascii="Book Antiqua" w:hAnsi="Book Antiqua"/>
        </w:rPr>
        <w:t xml:space="preserve">                               </w:t>
      </w:r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0E34FF" w:rsidRPr="009D3104">
        <w:rPr>
          <w:rStyle w:val="blk3"/>
          <w:rFonts w:ascii="Book Antiqua" w:hAnsi="Book Antiqua"/>
          <w:b/>
          <w:bCs/>
          <w:szCs w:val="22"/>
        </w:rPr>
        <w:t xml:space="preserve">1 </w:t>
      </w:r>
      <w:r w:rsidR="009231CD">
        <w:rPr>
          <w:rStyle w:val="blk3"/>
          <w:rFonts w:ascii="Book Antiqua" w:hAnsi="Book Antiqua"/>
          <w:b/>
          <w:bCs/>
          <w:szCs w:val="22"/>
        </w:rPr>
        <w:t>150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000 руб.00коп.</w:t>
      </w:r>
    </w:p>
    <w:p w14:paraId="2378BA0D" w14:textId="77777777" w:rsidR="00D56DF3" w:rsidRPr="009D3104" w:rsidRDefault="00D56DF3" w:rsidP="002F65B7">
      <w:pPr>
        <w:shd w:val="clear" w:color="auto" w:fill="FFFFFF"/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3788BDFD" w14:textId="15CD053C" w:rsidR="00DC1D57" w:rsidRDefault="009D329D" w:rsidP="002F65B7">
      <w:pPr>
        <w:shd w:val="clear" w:color="auto" w:fill="FFFFFF"/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</w:t>
      </w:r>
      <w:r w:rsidR="00D56DF3" w:rsidRPr="009D3104">
        <w:rPr>
          <w:rStyle w:val="blk3"/>
          <w:rFonts w:ascii="Book Antiqua" w:hAnsi="Book Antiqua"/>
          <w:b/>
          <w:bCs/>
          <w:szCs w:val="22"/>
        </w:rPr>
        <w:t>4.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Pr="00004157">
        <w:rPr>
          <w:rFonts w:ascii="Bookman Old Style" w:hAnsi="Bookman Old Style"/>
          <w:sz w:val="22"/>
          <w:szCs w:val="22"/>
        </w:rPr>
        <w:t xml:space="preserve">Трансформатор ТМ  630/10 (6)/0,4. </w:t>
      </w:r>
      <w:r w:rsidR="00D56DF3" w:rsidRPr="00004157">
        <w:rPr>
          <w:rFonts w:ascii="Bookman Old Style" w:hAnsi="Bookman Old Style"/>
          <w:sz w:val="22"/>
          <w:szCs w:val="22"/>
        </w:rPr>
        <w:t>Характеристики: Номинальная мощность: 630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кг., трансформаторы ТМ изготавливаются в соответствии со стандартом МЭК-76 и ГОСТ 16555-75,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</w:t>
      </w:r>
      <w:r w:rsidR="00B807A5">
        <w:rPr>
          <w:rFonts w:ascii="Bookman Old Style" w:hAnsi="Bookman Old Style"/>
          <w:sz w:val="22"/>
          <w:szCs w:val="22"/>
        </w:rPr>
        <w:t xml:space="preserve"> </w:t>
      </w:r>
      <w:r w:rsidR="002F65B7" w:rsidRPr="002F65B7">
        <w:rPr>
          <w:rFonts w:ascii="Book Antiqua" w:hAnsi="Book Antiqua"/>
        </w:rPr>
        <w:t>Место нахождение имущества: Свердловская обл., г. Тавда, ул. Лесопильщиков, 2А (здание подстанции).</w:t>
      </w:r>
      <w:r w:rsidR="00B807A5">
        <w:rPr>
          <w:rFonts w:ascii="Book Antiqua" w:hAnsi="Book Antiqua"/>
        </w:rPr>
        <w:t xml:space="preserve">                                   </w:t>
      </w:r>
      <w:r w:rsidR="00D56DF3"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="00D56DF3" w:rsidRPr="00004157">
        <w:rPr>
          <w:rFonts w:ascii="Bookman Old Style" w:hAnsi="Bookman Old Style"/>
          <w:sz w:val="22"/>
        </w:rPr>
        <w:t>цена</w:t>
      </w:r>
      <w:r w:rsidR="00D56DF3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9231CD">
        <w:rPr>
          <w:rStyle w:val="blk3"/>
          <w:rFonts w:ascii="Book Antiqua" w:hAnsi="Book Antiqua"/>
          <w:b/>
          <w:bCs/>
          <w:szCs w:val="22"/>
        </w:rPr>
        <w:t>5</w:t>
      </w:r>
      <w:r w:rsidR="00D56DF3" w:rsidRPr="009D3104">
        <w:rPr>
          <w:rStyle w:val="blk3"/>
          <w:rFonts w:ascii="Book Antiqua" w:hAnsi="Book Antiqua"/>
          <w:b/>
          <w:bCs/>
          <w:szCs w:val="22"/>
        </w:rPr>
        <w:t>30 000 руб.00коп.</w:t>
      </w:r>
    </w:p>
    <w:p w14:paraId="46AF330D" w14:textId="77777777" w:rsidR="009231CD" w:rsidRDefault="009231CD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3E2A2F0F" w14:textId="6C35DB6D" w:rsidR="00B807A5" w:rsidRDefault="009231CD" w:rsidP="002F65B7">
      <w:pPr>
        <w:shd w:val="clear" w:color="auto" w:fill="FFFFFF"/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>
        <w:rPr>
          <w:rStyle w:val="blk3"/>
          <w:rFonts w:ascii="Book Antiqua" w:hAnsi="Book Antiqua"/>
          <w:b/>
          <w:bCs/>
          <w:szCs w:val="22"/>
        </w:rPr>
        <w:t xml:space="preserve">Лот 5. </w:t>
      </w:r>
      <w:r w:rsidRPr="00004157">
        <w:rPr>
          <w:rFonts w:ascii="Bookman Old Style" w:hAnsi="Bookman Old Style"/>
          <w:sz w:val="22"/>
          <w:szCs w:val="22"/>
        </w:rPr>
        <w:t xml:space="preserve">Трансформатор ТМ  </w:t>
      </w:r>
      <w:r>
        <w:rPr>
          <w:rFonts w:ascii="Bookman Old Style" w:hAnsi="Bookman Old Style"/>
          <w:sz w:val="22"/>
          <w:szCs w:val="22"/>
        </w:rPr>
        <w:t>560</w:t>
      </w:r>
      <w:r w:rsidRPr="00004157">
        <w:rPr>
          <w:rFonts w:ascii="Bookman Old Style" w:hAnsi="Bookman Old Style"/>
          <w:sz w:val="22"/>
          <w:szCs w:val="22"/>
        </w:rPr>
        <w:t>/10 (6)/0,4. Характеристики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9231CD">
        <w:rPr>
          <w:rFonts w:ascii="Bookman Old Style" w:hAnsi="Bookman Old Style"/>
          <w:sz w:val="22"/>
          <w:szCs w:val="22"/>
        </w:rPr>
        <w:t>Номинальная мощность: 560 кВА.</w:t>
      </w:r>
      <w:r>
        <w:rPr>
          <w:rFonts w:ascii="Bookman Old Style" w:hAnsi="Bookman Old Style"/>
          <w:sz w:val="22"/>
          <w:szCs w:val="22"/>
        </w:rPr>
        <w:t>, н</w:t>
      </w:r>
      <w:r w:rsidRPr="009231CD">
        <w:rPr>
          <w:rFonts w:ascii="Bookman Old Style" w:hAnsi="Bookman Old Style"/>
          <w:sz w:val="22"/>
          <w:szCs w:val="22"/>
        </w:rPr>
        <w:t>оминальное напряжение обмотки НН: 0,4 кВ.</w:t>
      </w:r>
      <w:r>
        <w:rPr>
          <w:rFonts w:ascii="Bookman Old Style" w:hAnsi="Bookman Old Style"/>
          <w:sz w:val="22"/>
          <w:szCs w:val="22"/>
        </w:rPr>
        <w:t>, н</w:t>
      </w:r>
      <w:r w:rsidRPr="009231CD">
        <w:rPr>
          <w:rFonts w:ascii="Bookman Old Style" w:hAnsi="Bookman Old Style"/>
          <w:sz w:val="22"/>
          <w:szCs w:val="22"/>
        </w:rPr>
        <w:t>оминальное напряжение обмотки ВН: 6 (10) кВ.</w:t>
      </w:r>
      <w:r>
        <w:rPr>
          <w:rFonts w:ascii="Bookman Old Style" w:hAnsi="Bookman Old Style"/>
          <w:sz w:val="22"/>
          <w:szCs w:val="22"/>
        </w:rPr>
        <w:t>, с</w:t>
      </w:r>
      <w:r w:rsidRPr="009231CD">
        <w:rPr>
          <w:rFonts w:ascii="Bookman Old Style" w:hAnsi="Bookman Old Style"/>
          <w:sz w:val="22"/>
          <w:szCs w:val="22"/>
        </w:rPr>
        <w:t>хема и группа соединения обмоток: Д/Ун-11 или У/Ун-0</w:t>
      </w:r>
      <w:r>
        <w:rPr>
          <w:rFonts w:ascii="Bookman Old Style" w:hAnsi="Bookman Old Style"/>
          <w:sz w:val="22"/>
          <w:szCs w:val="22"/>
        </w:rPr>
        <w:t>, т</w:t>
      </w:r>
      <w:r w:rsidRPr="009231CD">
        <w:rPr>
          <w:rFonts w:ascii="Bookman Old Style" w:hAnsi="Bookman Old Style"/>
          <w:sz w:val="22"/>
          <w:szCs w:val="22"/>
        </w:rPr>
        <w:t>ип регулирования напряжения: ПБВ</w:t>
      </w:r>
      <w:r>
        <w:rPr>
          <w:rFonts w:ascii="Bookman Old Style" w:hAnsi="Bookman Old Style"/>
          <w:sz w:val="22"/>
          <w:szCs w:val="22"/>
        </w:rPr>
        <w:t>, д</w:t>
      </w:r>
      <w:r w:rsidRPr="009231CD">
        <w:rPr>
          <w:rFonts w:ascii="Bookman Old Style" w:hAnsi="Bookman Old Style"/>
          <w:sz w:val="22"/>
          <w:szCs w:val="22"/>
        </w:rPr>
        <w:t>иапазон регулирования: ±2х2,5%</w:t>
      </w:r>
      <w:r>
        <w:rPr>
          <w:rFonts w:ascii="Bookman Old Style" w:hAnsi="Bookman Old Style"/>
          <w:sz w:val="22"/>
          <w:szCs w:val="22"/>
        </w:rPr>
        <w:t>, м</w:t>
      </w:r>
      <w:r w:rsidRPr="009231CD">
        <w:rPr>
          <w:rFonts w:ascii="Bookman Old Style" w:hAnsi="Bookman Old Style"/>
          <w:sz w:val="22"/>
          <w:szCs w:val="22"/>
        </w:rPr>
        <w:t>атериал обмоток: алюминий</w:t>
      </w:r>
      <w:r>
        <w:rPr>
          <w:rFonts w:ascii="Bookman Old Style" w:hAnsi="Bookman Old Style"/>
          <w:sz w:val="22"/>
          <w:szCs w:val="22"/>
        </w:rPr>
        <w:t>, п</w:t>
      </w:r>
      <w:r w:rsidRPr="009231CD">
        <w:rPr>
          <w:rFonts w:ascii="Bookman Old Style" w:hAnsi="Bookman Old Style"/>
          <w:sz w:val="22"/>
          <w:szCs w:val="22"/>
        </w:rPr>
        <w:t>отери короткого замыкания: 12200 Вт</w:t>
      </w:r>
      <w:r>
        <w:rPr>
          <w:rFonts w:ascii="Bookman Old Style" w:hAnsi="Bookman Old Style"/>
          <w:sz w:val="22"/>
          <w:szCs w:val="22"/>
        </w:rPr>
        <w:t>, п</w:t>
      </w:r>
      <w:r w:rsidRPr="009231CD">
        <w:rPr>
          <w:rFonts w:ascii="Bookman Old Style" w:hAnsi="Bookman Old Style"/>
          <w:sz w:val="22"/>
          <w:szCs w:val="22"/>
        </w:rPr>
        <w:t>отери холостого хода: 1470 Вт</w:t>
      </w:r>
      <w:r>
        <w:rPr>
          <w:rFonts w:ascii="Bookman Old Style" w:hAnsi="Bookman Old Style"/>
          <w:sz w:val="22"/>
          <w:szCs w:val="22"/>
        </w:rPr>
        <w:t>, т</w:t>
      </w:r>
      <w:r w:rsidRPr="009231CD">
        <w:rPr>
          <w:rFonts w:ascii="Bookman Old Style" w:hAnsi="Bookman Old Style"/>
          <w:sz w:val="22"/>
          <w:szCs w:val="22"/>
        </w:rPr>
        <w:t>ок холостого хода: 0,8%</w:t>
      </w:r>
      <w:r>
        <w:rPr>
          <w:rFonts w:ascii="Bookman Old Style" w:hAnsi="Bookman Old Style"/>
          <w:sz w:val="22"/>
          <w:szCs w:val="22"/>
        </w:rPr>
        <w:t>, к</w:t>
      </w:r>
      <w:r w:rsidRPr="009231CD">
        <w:rPr>
          <w:rFonts w:ascii="Bookman Old Style" w:hAnsi="Bookman Old Style"/>
          <w:sz w:val="22"/>
          <w:szCs w:val="22"/>
        </w:rPr>
        <w:t>лиматическое исполнение и категория размещения: У1 (У3)</w:t>
      </w:r>
      <w:r>
        <w:rPr>
          <w:rFonts w:ascii="Bookman Old Style" w:hAnsi="Bookman Old Style"/>
          <w:sz w:val="22"/>
          <w:szCs w:val="22"/>
        </w:rPr>
        <w:t>, н</w:t>
      </w:r>
      <w:r w:rsidRPr="009231CD">
        <w:rPr>
          <w:rFonts w:ascii="Bookman Old Style" w:hAnsi="Bookman Old Style"/>
          <w:sz w:val="22"/>
          <w:szCs w:val="22"/>
        </w:rPr>
        <w:t>оминальная частота: 50 Гц</w:t>
      </w:r>
      <w:r>
        <w:rPr>
          <w:rFonts w:ascii="Bookman Old Style" w:hAnsi="Bookman Old Style"/>
          <w:sz w:val="22"/>
          <w:szCs w:val="22"/>
        </w:rPr>
        <w:t>, г</w:t>
      </w:r>
      <w:r w:rsidRPr="009231CD">
        <w:rPr>
          <w:rFonts w:ascii="Bookman Old Style" w:hAnsi="Bookman Old Style"/>
          <w:sz w:val="22"/>
          <w:szCs w:val="22"/>
        </w:rPr>
        <w:t>абариты (ДхШхВ): 1900х1235х1825 мм (без катков)</w:t>
      </w:r>
      <w:r>
        <w:rPr>
          <w:rFonts w:ascii="Bookman Old Style" w:hAnsi="Bookman Old Style"/>
          <w:sz w:val="22"/>
          <w:szCs w:val="22"/>
        </w:rPr>
        <w:t>, м</w:t>
      </w:r>
      <w:r w:rsidRPr="009231CD">
        <w:rPr>
          <w:rFonts w:ascii="Bookman Old Style" w:hAnsi="Bookman Old Style"/>
          <w:sz w:val="22"/>
          <w:szCs w:val="22"/>
        </w:rPr>
        <w:t>асса (полная): 1987 кг.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231CD">
        <w:rPr>
          <w:rFonts w:ascii="Bookman Old Style" w:hAnsi="Bookman Old Style"/>
          <w:sz w:val="22"/>
          <w:szCs w:val="22"/>
        </w:rPr>
        <w:t>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</w:t>
      </w:r>
      <w:r w:rsidR="00B807A5">
        <w:rPr>
          <w:rFonts w:ascii="Bookman Old Style" w:hAnsi="Bookman Old Style"/>
          <w:sz w:val="22"/>
          <w:szCs w:val="22"/>
        </w:rPr>
        <w:t xml:space="preserve"> </w:t>
      </w:r>
      <w:r w:rsidRPr="009231CD">
        <w:rPr>
          <w:rFonts w:ascii="Bookman Old Style" w:hAnsi="Bookman Old Style"/>
          <w:sz w:val="22"/>
          <w:szCs w:val="22"/>
        </w:rPr>
        <w:t>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</w:t>
      </w:r>
      <w:r w:rsidR="00B807A5">
        <w:rPr>
          <w:rFonts w:ascii="Bookman Old Style" w:hAnsi="Bookman Old Style"/>
          <w:sz w:val="22"/>
          <w:szCs w:val="22"/>
        </w:rPr>
        <w:t xml:space="preserve"> </w:t>
      </w:r>
      <w:r w:rsidR="002F65B7" w:rsidRPr="002F65B7">
        <w:rPr>
          <w:rFonts w:ascii="Book Antiqua" w:hAnsi="Book Antiqua"/>
        </w:rPr>
        <w:t xml:space="preserve">Место нахождение имущества: </w:t>
      </w:r>
      <w:r w:rsidR="00E942F8" w:rsidRPr="00E942F8">
        <w:rPr>
          <w:rFonts w:ascii="Book Antiqua" w:hAnsi="Book Antiqua"/>
        </w:rPr>
        <w:t>Российская Федерация, Свердловская область, г. Тавда, ул. Кардонская д. 19 (здание подстанции).</w:t>
      </w:r>
      <w:r w:rsidR="00E942F8">
        <w:rPr>
          <w:rFonts w:ascii="Book Antiqua" w:hAnsi="Book Antiqua"/>
        </w:rPr>
        <w:t xml:space="preserve"> </w:t>
      </w:r>
      <w:r w:rsidR="00B807A5"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="00B807A5" w:rsidRPr="00004157">
        <w:rPr>
          <w:rFonts w:ascii="Bookman Old Style" w:hAnsi="Bookman Old Style"/>
          <w:sz w:val="22"/>
        </w:rPr>
        <w:t>цена</w:t>
      </w:r>
      <w:r w:rsidR="00B807A5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EF5A3F">
        <w:rPr>
          <w:rStyle w:val="blk3"/>
          <w:rFonts w:ascii="Book Antiqua" w:hAnsi="Book Antiqua"/>
          <w:b/>
          <w:bCs/>
          <w:szCs w:val="22"/>
        </w:rPr>
        <w:t>420</w:t>
      </w:r>
      <w:r w:rsidR="00B807A5" w:rsidRPr="009D3104">
        <w:rPr>
          <w:rStyle w:val="blk3"/>
          <w:rFonts w:ascii="Book Antiqua" w:hAnsi="Book Antiqua"/>
          <w:b/>
          <w:bCs/>
          <w:szCs w:val="22"/>
        </w:rPr>
        <w:t xml:space="preserve"> 000 руб.00коп.</w:t>
      </w:r>
    </w:p>
    <w:p w14:paraId="775AA9CB" w14:textId="77777777" w:rsidR="009231CD" w:rsidRPr="009D3104" w:rsidRDefault="009231CD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6711A9B4" w14:textId="65D7BF12" w:rsidR="006F4742" w:rsidRPr="009D3104" w:rsidRDefault="00D56DF3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</w:t>
      </w:r>
      <w:r w:rsidR="00B807A5">
        <w:rPr>
          <w:rStyle w:val="blk3"/>
          <w:rFonts w:ascii="Book Antiqua" w:hAnsi="Book Antiqua"/>
          <w:b/>
          <w:bCs/>
          <w:szCs w:val="22"/>
        </w:rPr>
        <w:t>6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. </w:t>
      </w:r>
      <w:r w:rsidRPr="00004157">
        <w:rPr>
          <w:rFonts w:ascii="Bookman Old Style" w:hAnsi="Bookman Old Style"/>
          <w:sz w:val="22"/>
          <w:szCs w:val="22"/>
        </w:rPr>
        <w:t>Здание, назначение: нежилое, трансформаторная подстанция 5, кадастровый номер 74:43:0102001:326, общей площадью 41 кв. м. Местоположение: Челябинская область, п. Локомотивный, ул. Ленина, д. 32 и сооружение, назначение:</w:t>
      </w:r>
      <w:r w:rsidR="003155E2" w:rsidRPr="00004157">
        <w:rPr>
          <w:rFonts w:ascii="Bookman Old Style" w:hAnsi="Bookman Old Style"/>
          <w:sz w:val="22"/>
          <w:szCs w:val="22"/>
        </w:rPr>
        <w:t xml:space="preserve"> </w:t>
      </w:r>
      <w:r w:rsidRPr="00004157">
        <w:rPr>
          <w:rFonts w:ascii="Bookman Old Style" w:hAnsi="Bookman Old Style"/>
          <w:sz w:val="22"/>
          <w:szCs w:val="22"/>
        </w:rPr>
        <w:t xml:space="preserve">сооружение электроэнергетики, кабельные линии к ТП-5, кадастровый номер 74:43:0000000:382, протяженностью 150 м. Местоположение: Челябинская область, п. Локомотивный, ул. Ленина ТП5-зд33. </w:t>
      </w:r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3167C8" w:rsidRPr="009D3104">
        <w:rPr>
          <w:rStyle w:val="blk3"/>
          <w:rFonts w:ascii="Book Antiqua" w:hAnsi="Book Antiqua"/>
          <w:b/>
          <w:bCs/>
          <w:szCs w:val="22"/>
        </w:rPr>
        <w:t>1</w:t>
      </w:r>
      <w:r w:rsidRPr="009D3104">
        <w:rPr>
          <w:rStyle w:val="blk3"/>
          <w:rFonts w:ascii="Book Antiqua" w:hAnsi="Book Antiqua"/>
          <w:b/>
          <w:bCs/>
          <w:szCs w:val="22"/>
        </w:rPr>
        <w:t> </w:t>
      </w:r>
      <w:r w:rsidR="00B807A5">
        <w:rPr>
          <w:rStyle w:val="blk3"/>
          <w:rFonts w:ascii="Book Antiqua" w:hAnsi="Book Antiqua"/>
          <w:b/>
          <w:bCs/>
          <w:szCs w:val="22"/>
        </w:rPr>
        <w:t>110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000 руб.00коп.</w:t>
      </w:r>
      <w:r w:rsidR="00756101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</w:p>
    <w:p w14:paraId="40D3C449" w14:textId="77777777" w:rsidR="007063E2" w:rsidRDefault="007063E2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7D2B905C" w14:textId="4E4EB094" w:rsidR="009147FD" w:rsidRPr="00004157" w:rsidRDefault="006F4742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lastRenderedPageBreak/>
        <w:t xml:space="preserve">Лот </w:t>
      </w:r>
      <w:r w:rsidR="00854788">
        <w:rPr>
          <w:rStyle w:val="blk3"/>
          <w:rFonts w:ascii="Book Antiqua" w:hAnsi="Book Antiqua"/>
          <w:b/>
          <w:bCs/>
          <w:szCs w:val="22"/>
        </w:rPr>
        <w:t>7</w:t>
      </w:r>
      <w:r w:rsidRPr="009D3104">
        <w:rPr>
          <w:rStyle w:val="blk3"/>
          <w:rFonts w:ascii="Book Antiqua" w:hAnsi="Book Antiqua"/>
          <w:b/>
          <w:bCs/>
          <w:szCs w:val="22"/>
        </w:rPr>
        <w:t>.</w:t>
      </w:r>
      <w:r w:rsidRPr="009D3104">
        <w:t xml:space="preserve"> </w:t>
      </w:r>
      <w:r w:rsidR="005E368C" w:rsidRPr="009D3104">
        <w:rPr>
          <w:rFonts w:ascii="Bookman Old Style" w:hAnsi="Bookman Old Style"/>
          <w:sz w:val="22"/>
          <w:szCs w:val="22"/>
        </w:rPr>
        <w:t>П</w:t>
      </w:r>
      <w:r w:rsidRPr="00004157">
        <w:rPr>
          <w:rFonts w:ascii="Bookman Old Style" w:hAnsi="Bookman Old Style"/>
          <w:sz w:val="22"/>
          <w:szCs w:val="22"/>
        </w:rPr>
        <w:t>роизводственн</w:t>
      </w:r>
      <w:r w:rsidR="007063E2" w:rsidRPr="00004157">
        <w:rPr>
          <w:rFonts w:ascii="Bookman Old Style" w:hAnsi="Bookman Old Style"/>
          <w:sz w:val="22"/>
          <w:szCs w:val="22"/>
        </w:rPr>
        <w:t>ая</w:t>
      </w:r>
      <w:r w:rsidRPr="00004157">
        <w:rPr>
          <w:rFonts w:ascii="Bookman Old Style" w:hAnsi="Bookman Old Style"/>
          <w:sz w:val="22"/>
          <w:szCs w:val="22"/>
        </w:rPr>
        <w:t xml:space="preserve"> баз</w:t>
      </w:r>
      <w:r w:rsidR="007063E2" w:rsidRPr="00004157">
        <w:rPr>
          <w:rFonts w:ascii="Bookman Old Style" w:hAnsi="Bookman Old Style"/>
          <w:sz w:val="22"/>
          <w:szCs w:val="22"/>
        </w:rPr>
        <w:t>а</w:t>
      </w:r>
      <w:r w:rsidRPr="00004157">
        <w:rPr>
          <w:rFonts w:ascii="Bookman Old Style" w:hAnsi="Bookman Old Style"/>
          <w:sz w:val="22"/>
          <w:szCs w:val="22"/>
        </w:rPr>
        <w:t>: свободного назначения</w:t>
      </w:r>
      <w:r w:rsidR="007C14CD" w:rsidRPr="00004157">
        <w:rPr>
          <w:rFonts w:ascii="Bookman Old Style" w:hAnsi="Bookman Old Style"/>
          <w:sz w:val="22"/>
          <w:szCs w:val="22"/>
        </w:rPr>
        <w:t>, состоит из следующих объектов:</w:t>
      </w:r>
      <w:r w:rsidR="009A4851" w:rsidRPr="00004157">
        <w:rPr>
          <w:rFonts w:ascii="Bookman Old Style" w:hAnsi="Bookman Old Style"/>
          <w:sz w:val="22"/>
          <w:szCs w:val="22"/>
        </w:rPr>
        <w:t xml:space="preserve"> </w:t>
      </w:r>
    </w:p>
    <w:p w14:paraId="6DC9A628" w14:textId="1DE1DFAE" w:rsidR="006F4742" w:rsidRPr="00004157" w:rsidRDefault="00275A66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1.</w:t>
      </w:r>
      <w:r w:rsidR="00A070D2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1 и 2, назначение: нежилое помещение. </w:t>
      </w:r>
      <w:r w:rsidR="00854788">
        <w:rPr>
          <w:rFonts w:ascii="Bookman Old Style" w:hAnsi="Bookman Old Style"/>
          <w:sz w:val="22"/>
          <w:szCs w:val="22"/>
        </w:rPr>
        <w:t>п</w:t>
      </w:r>
      <w:r w:rsidR="006F4742" w:rsidRPr="00004157">
        <w:rPr>
          <w:rFonts w:ascii="Bookman Old Style" w:hAnsi="Bookman Old Style"/>
          <w:sz w:val="22"/>
          <w:szCs w:val="22"/>
        </w:rPr>
        <w:t>лощадь: общая 201,1 кв.м. Количество этажей:</w:t>
      </w:r>
      <w:r w:rsidR="00C056F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1. Адрес(месторасположение): 623950 Российская Федерация, Свердловская область, Тавдинский городской округ, г. Тавда, ул. Фрунзе, д2А, строение 20/1. Кадастровый номер: 66:27:1102052:156.</w:t>
      </w:r>
      <w:r w:rsidR="007C14CD" w:rsidRPr="00004157">
        <w:rPr>
          <w:rFonts w:ascii="Bookman Old Style" w:hAnsi="Bookman Old Style"/>
          <w:sz w:val="22"/>
          <w:szCs w:val="22"/>
        </w:rPr>
        <w:t xml:space="preserve"> Объекты расположены на з</w:t>
      </w:r>
      <w:r w:rsidR="006F4742" w:rsidRPr="00004157">
        <w:rPr>
          <w:rFonts w:ascii="Bookman Old Style" w:hAnsi="Bookman Old Style"/>
          <w:sz w:val="22"/>
          <w:szCs w:val="22"/>
        </w:rPr>
        <w:t>емельн</w:t>
      </w:r>
      <w:r w:rsidR="007C14CD" w:rsidRPr="00004157">
        <w:rPr>
          <w:rFonts w:ascii="Bookman Old Style" w:hAnsi="Bookman Old Style"/>
          <w:sz w:val="22"/>
          <w:szCs w:val="22"/>
        </w:rPr>
        <w:t>ом</w:t>
      </w:r>
      <w:r w:rsidR="006F4742" w:rsidRPr="00004157">
        <w:rPr>
          <w:rFonts w:ascii="Bookman Old Style" w:hAnsi="Bookman Old Style"/>
          <w:sz w:val="22"/>
          <w:szCs w:val="22"/>
        </w:rPr>
        <w:t xml:space="preserve"> участ</w:t>
      </w:r>
      <w:r w:rsidR="007C14CD" w:rsidRPr="00004157">
        <w:rPr>
          <w:rFonts w:ascii="Bookman Old Style" w:hAnsi="Bookman Old Style"/>
          <w:sz w:val="22"/>
          <w:szCs w:val="22"/>
        </w:rPr>
        <w:t>ке</w:t>
      </w:r>
      <w:r w:rsidR="006F4742" w:rsidRPr="00004157">
        <w:rPr>
          <w:rFonts w:ascii="Bookman Old Style" w:hAnsi="Bookman Old Style"/>
          <w:sz w:val="22"/>
          <w:szCs w:val="22"/>
        </w:rPr>
        <w:t xml:space="preserve">, </w:t>
      </w:r>
      <w:r w:rsidR="007C14CD" w:rsidRPr="00004157">
        <w:rPr>
          <w:rFonts w:ascii="Bookman Old Style" w:hAnsi="Bookman Old Style"/>
          <w:sz w:val="22"/>
          <w:szCs w:val="22"/>
        </w:rPr>
        <w:t xml:space="preserve">кадастровый номер: 66:27:1102052:195, площадь 1522 кв.м., категория земель: земли населённых пунктов, вид разрешенного использования: для размещения производственных зданий и сооружений. </w:t>
      </w:r>
      <w:r w:rsidR="006F4742" w:rsidRPr="00004157">
        <w:rPr>
          <w:rFonts w:ascii="Bookman Old Style" w:hAnsi="Bookman Old Style"/>
          <w:sz w:val="22"/>
          <w:szCs w:val="22"/>
        </w:rPr>
        <w:t xml:space="preserve">Адрес(месторасположение): 623950 Российская Федерация, Свердловская область, Тавдинский городской округ, г. Тавда, ул. Фрунзе, д2А, строение 20/1. </w:t>
      </w:r>
      <w:r w:rsidRPr="00004157">
        <w:rPr>
          <w:rFonts w:ascii="Bookman Old Style" w:hAnsi="Bookman Old Style"/>
          <w:sz w:val="22"/>
          <w:szCs w:val="22"/>
        </w:rPr>
        <w:t>Земельный участок находится в аренде ООО «ДАР» с 01.03.2023 по 31.03.2038 с пролонгацией.</w:t>
      </w:r>
      <w:r w:rsidR="005E368C" w:rsidRPr="00004157">
        <w:rPr>
          <w:rFonts w:ascii="Bookman Old Style" w:hAnsi="Bookman Old Style"/>
          <w:sz w:val="22"/>
          <w:szCs w:val="22"/>
        </w:rPr>
        <w:t xml:space="preserve"> </w:t>
      </w:r>
    </w:p>
    <w:p w14:paraId="005E869C" w14:textId="77777777" w:rsidR="00E948DC" w:rsidRDefault="00275A66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2.</w:t>
      </w:r>
      <w:r w:rsidR="00A070D2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Гаражный бокс 3, назначение: нежилое помещение. Площадь: общая 117,5 кв.м. Количество этажей:1. Адрес(месторасположение): 623950 Российская Федерация, Свердловская область, Тавдинский городской округ, г. Тавда, ул. Фрунзе, д2А, строение 20/2. Кадастровый номер: 66:27:1102052:157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C056F6" w:rsidRPr="00004157">
        <w:rPr>
          <w:rFonts w:ascii="Bookman Old Style" w:hAnsi="Bookman Old Style"/>
          <w:sz w:val="22"/>
          <w:szCs w:val="22"/>
        </w:rPr>
        <w:t>Бокс не отапливается (х</w:t>
      </w:r>
      <w:r w:rsidR="006F4742" w:rsidRPr="00004157">
        <w:rPr>
          <w:rFonts w:ascii="Bookman Old Style" w:hAnsi="Bookman Old Style"/>
          <w:sz w:val="22"/>
          <w:szCs w:val="22"/>
        </w:rPr>
        <w:t>олодный</w:t>
      </w:r>
      <w:r w:rsidR="00C056F6"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  <w:r w:rsidR="007C14CD" w:rsidRPr="00004157">
        <w:rPr>
          <w:rFonts w:ascii="Bookman Old Style" w:hAnsi="Bookman Old Style"/>
          <w:sz w:val="22"/>
          <w:szCs w:val="22"/>
        </w:rPr>
        <w:t xml:space="preserve"> Объекты расположены на земельном участке</w:t>
      </w:r>
      <w:r w:rsidR="006F4742" w:rsidRPr="00004157">
        <w:rPr>
          <w:rFonts w:ascii="Bookman Old Style" w:hAnsi="Bookman Old Style"/>
          <w:sz w:val="22"/>
          <w:szCs w:val="22"/>
        </w:rPr>
        <w:t xml:space="preserve">, </w:t>
      </w:r>
      <w:r w:rsidR="00BF7CAC" w:rsidRPr="00004157">
        <w:rPr>
          <w:rFonts w:ascii="Bookman Old Style" w:hAnsi="Bookman Old Style"/>
          <w:sz w:val="22"/>
          <w:szCs w:val="22"/>
        </w:rPr>
        <w:t xml:space="preserve">кадастровый номер: 66:27:1102052:197, площадь 702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20/2. </w:t>
      </w:r>
      <w:r w:rsidRPr="00004157">
        <w:rPr>
          <w:rFonts w:ascii="Bookman Old Style" w:hAnsi="Bookman Old Style"/>
          <w:sz w:val="22"/>
          <w:szCs w:val="22"/>
        </w:rPr>
        <w:t>Земельный участок находится в аренде ООО «ДАР»</w:t>
      </w:r>
      <w:r w:rsidR="004B5393" w:rsidRPr="00004157">
        <w:rPr>
          <w:rFonts w:ascii="Bookman Old Style" w:hAnsi="Bookman Old Style"/>
          <w:sz w:val="22"/>
          <w:szCs w:val="22"/>
        </w:rPr>
        <w:t xml:space="preserve"> </w:t>
      </w:r>
      <w:r w:rsidR="00BF7CAC" w:rsidRPr="00004157">
        <w:rPr>
          <w:rFonts w:ascii="Bookman Old Style" w:hAnsi="Bookman Old Style"/>
          <w:sz w:val="22"/>
          <w:szCs w:val="22"/>
        </w:rPr>
        <w:t>с 01.03.2023 по 31.03.2038 с пролонгацией.</w:t>
      </w:r>
      <w:r w:rsidR="00E948DC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Имеется </w:t>
      </w:r>
      <w:r w:rsidR="00BF7CAC" w:rsidRPr="00004157">
        <w:rPr>
          <w:rFonts w:ascii="Bookman Old Style" w:hAnsi="Bookman Old Style"/>
          <w:sz w:val="22"/>
          <w:szCs w:val="22"/>
        </w:rPr>
        <w:t>з</w:t>
      </w:r>
      <w:r w:rsidR="006F4742" w:rsidRPr="00004157">
        <w:rPr>
          <w:rFonts w:ascii="Bookman Old Style" w:hAnsi="Bookman Old Style"/>
          <w:sz w:val="22"/>
          <w:szCs w:val="22"/>
        </w:rPr>
        <w:t>апрет на регистрацию судебного пристава-исполнителя (Снимется по результатам торгов)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E948DC">
        <w:rPr>
          <w:rFonts w:ascii="Bookman Old Style" w:hAnsi="Bookman Old Style"/>
          <w:sz w:val="22"/>
          <w:szCs w:val="22"/>
        </w:rPr>
        <w:t xml:space="preserve"> </w:t>
      </w:r>
    </w:p>
    <w:p w14:paraId="715DC4EB" w14:textId="455EB735" w:rsidR="006F4742" w:rsidRPr="00004157" w:rsidRDefault="00E948DC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6F4742" w:rsidRPr="00004157">
        <w:rPr>
          <w:rFonts w:ascii="Bookman Old Style" w:hAnsi="Bookman Old Style"/>
          <w:sz w:val="22"/>
          <w:szCs w:val="22"/>
        </w:rPr>
        <w:t>В здании смонтированы тёплые полы и наружный контур батарей (Система отопления центральная</w:t>
      </w:r>
      <w:r w:rsidR="00D82135" w:rsidRPr="00004157">
        <w:rPr>
          <w:rFonts w:ascii="Bookman Old Style" w:hAnsi="Bookman Old Style"/>
          <w:sz w:val="22"/>
          <w:szCs w:val="22"/>
        </w:rPr>
        <w:t>, имеется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собственная дровяная и резерв</w:t>
      </w:r>
      <w:r w:rsidR="00D82135" w:rsidRPr="00004157">
        <w:rPr>
          <w:rFonts w:ascii="Bookman Old Style" w:hAnsi="Bookman Old Style"/>
          <w:sz w:val="22"/>
          <w:szCs w:val="22"/>
        </w:rPr>
        <w:t>ный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электро-котёл</w:t>
      </w:r>
      <w:r w:rsidR="00D82135" w:rsidRPr="00004157">
        <w:rPr>
          <w:rFonts w:ascii="Bookman Old Style" w:hAnsi="Bookman Old Style"/>
          <w:sz w:val="22"/>
          <w:szCs w:val="22"/>
        </w:rPr>
        <w:t>-</w:t>
      </w:r>
      <w:r w:rsidR="006F4742" w:rsidRPr="00004157">
        <w:rPr>
          <w:rFonts w:ascii="Bookman Old Style" w:hAnsi="Bookman Old Style"/>
          <w:sz w:val="22"/>
          <w:szCs w:val="22"/>
        </w:rPr>
        <w:t>использовать можно любую</w:t>
      </w:r>
      <w:r w:rsidR="00D82135"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, водопровод центральный, канализация центральная, электроэнергия 380 В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разрешённая 55 к</w:t>
      </w:r>
      <w:r w:rsidR="0059659A" w:rsidRPr="00004157">
        <w:rPr>
          <w:rFonts w:ascii="Bookman Old Style" w:hAnsi="Bookman Old Style"/>
          <w:sz w:val="22"/>
          <w:szCs w:val="22"/>
        </w:rPr>
        <w:t>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 </w:t>
      </w:r>
      <w:r w:rsidR="0059659A" w:rsidRPr="00004157">
        <w:rPr>
          <w:rFonts w:ascii="Bookman Old Style" w:hAnsi="Bookman Old Style"/>
          <w:sz w:val="22"/>
          <w:szCs w:val="22"/>
        </w:rPr>
        <w:t>Имущественном комплексе №</w:t>
      </w:r>
      <w:r w:rsidR="006F4742" w:rsidRPr="00004157">
        <w:rPr>
          <w:rFonts w:ascii="Bookman Old Style" w:hAnsi="Bookman Old Style"/>
          <w:sz w:val="22"/>
          <w:szCs w:val="22"/>
        </w:rPr>
        <w:t xml:space="preserve"> 1 и 45</w:t>
      </w:r>
      <w:r w:rsidR="0059659A" w:rsidRPr="00004157">
        <w:rPr>
          <w:rFonts w:ascii="Bookman Old Style" w:hAnsi="Bookman Old Style"/>
          <w:sz w:val="22"/>
          <w:szCs w:val="22"/>
        </w:rPr>
        <w:t xml:space="preserve"> кВ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 Имуществ</w:t>
      </w:r>
      <w:r w:rsidR="0059659A" w:rsidRPr="00004157">
        <w:rPr>
          <w:rFonts w:ascii="Bookman Old Style" w:hAnsi="Bookman Old Style"/>
          <w:sz w:val="22"/>
          <w:szCs w:val="22"/>
        </w:rPr>
        <w:t>енном комплексе №</w:t>
      </w:r>
      <w:r w:rsidR="006F4742" w:rsidRPr="00004157">
        <w:rPr>
          <w:rFonts w:ascii="Bookman Old Style" w:hAnsi="Bookman Old Style"/>
          <w:sz w:val="22"/>
          <w:szCs w:val="22"/>
        </w:rPr>
        <w:t xml:space="preserve"> 2 (итого 100 к</w:t>
      </w:r>
      <w:r w:rsidR="0059659A" w:rsidRPr="00004157">
        <w:rPr>
          <w:rFonts w:ascii="Bookman Old Style" w:hAnsi="Bookman Old Style"/>
          <w:sz w:val="22"/>
          <w:szCs w:val="22"/>
        </w:rPr>
        <w:t>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возможностью увеличения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подстанция рядом по заниженному тарифу</w:t>
      </w:r>
      <w:r w:rsidR="00D82135"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</w:p>
    <w:p w14:paraId="17F38877" w14:textId="5F7F8FFC" w:rsidR="006F4742" w:rsidRPr="00004157" w:rsidRDefault="00D82135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ab/>
      </w:r>
      <w:r w:rsidR="006F4742" w:rsidRPr="00004157">
        <w:rPr>
          <w:rFonts w:ascii="Bookman Old Style" w:hAnsi="Bookman Old Style"/>
          <w:sz w:val="22"/>
          <w:szCs w:val="22"/>
        </w:rPr>
        <w:t>В здании установлены</w:t>
      </w:r>
      <w:r w:rsidR="00854788">
        <w:rPr>
          <w:rFonts w:ascii="Bookman Old Style" w:hAnsi="Bookman Old Style"/>
          <w:sz w:val="22"/>
          <w:szCs w:val="22"/>
        </w:rPr>
        <w:t>: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Pr="00004157">
        <w:rPr>
          <w:rFonts w:ascii="Bookman Old Style" w:hAnsi="Bookman Old Style"/>
          <w:sz w:val="22"/>
          <w:szCs w:val="22"/>
        </w:rPr>
        <w:t>н</w:t>
      </w:r>
      <w:r w:rsidR="006F4742" w:rsidRPr="00004157">
        <w:rPr>
          <w:rFonts w:ascii="Bookman Old Style" w:hAnsi="Bookman Old Style"/>
          <w:sz w:val="22"/>
          <w:szCs w:val="22"/>
        </w:rPr>
        <w:t>а окнах первого этажа электрические рольставни</w:t>
      </w:r>
      <w:r w:rsidRPr="00004157">
        <w:rPr>
          <w:rFonts w:ascii="Bookman Old Style" w:hAnsi="Bookman Old Style"/>
          <w:sz w:val="22"/>
          <w:szCs w:val="22"/>
        </w:rPr>
        <w:t xml:space="preserve">. </w:t>
      </w:r>
      <w:r w:rsidR="006F4742" w:rsidRPr="00004157">
        <w:rPr>
          <w:rFonts w:ascii="Bookman Old Style" w:hAnsi="Bookman Old Style"/>
          <w:sz w:val="22"/>
          <w:szCs w:val="22"/>
        </w:rPr>
        <w:t>Вся территория огорожена металлопрофилем</w:t>
      </w:r>
      <w:r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 xml:space="preserve">установлены откатные с электро-приводом ворота </w:t>
      </w:r>
      <w:r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 4,5</w:t>
      </w:r>
      <w:r w:rsidRPr="00004157">
        <w:rPr>
          <w:rFonts w:ascii="Bookman Old Style" w:hAnsi="Bookman Old Style"/>
          <w:sz w:val="22"/>
          <w:szCs w:val="22"/>
        </w:rPr>
        <w:t xml:space="preserve">», </w:t>
      </w:r>
      <w:r w:rsidR="006F4742" w:rsidRPr="00004157">
        <w:rPr>
          <w:rFonts w:ascii="Bookman Old Style" w:hAnsi="Bookman Old Style"/>
          <w:sz w:val="22"/>
          <w:szCs w:val="22"/>
        </w:rPr>
        <w:t>имеется два резервных выезда один откатной и один распашные ворота</w:t>
      </w:r>
      <w:r w:rsidRPr="00004157">
        <w:rPr>
          <w:rFonts w:ascii="Bookman Old Style" w:hAnsi="Bookman Old Style"/>
          <w:sz w:val="22"/>
          <w:szCs w:val="22"/>
        </w:rPr>
        <w:t>.</w:t>
      </w:r>
    </w:p>
    <w:p w14:paraId="117725A0" w14:textId="37A5CB42" w:rsidR="006F4742" w:rsidRPr="00004157" w:rsidRDefault="00854788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6F4742" w:rsidRPr="00004157">
        <w:rPr>
          <w:rFonts w:ascii="Bookman Old Style" w:hAnsi="Bookman Old Style"/>
          <w:sz w:val="22"/>
          <w:szCs w:val="22"/>
        </w:rPr>
        <w:t>На территории установлена система видео наблюдения и резервный источник питания.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Вся территория заасфальтирована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D82135" w:rsidRPr="00004157">
        <w:rPr>
          <w:rFonts w:ascii="Bookman Old Style" w:hAnsi="Bookman Old Style"/>
          <w:sz w:val="22"/>
          <w:szCs w:val="22"/>
        </w:rPr>
        <w:t>разложены</w:t>
      </w:r>
      <w:r w:rsidR="006F4742" w:rsidRPr="00004157">
        <w:rPr>
          <w:rFonts w:ascii="Bookman Old Style" w:hAnsi="Bookman Old Style"/>
          <w:sz w:val="22"/>
          <w:szCs w:val="22"/>
        </w:rPr>
        <w:t xml:space="preserve"> дорожные плиты с плавными водостоками.  </w:t>
      </w:r>
    </w:p>
    <w:p w14:paraId="68E19609" w14:textId="76C2B50E" w:rsidR="00D56DF3" w:rsidRPr="009D3104" w:rsidRDefault="00A070D2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b/>
          <w:bCs/>
        </w:rPr>
      </w:pPr>
      <w:r w:rsidRPr="00004157">
        <w:rPr>
          <w:rFonts w:ascii="Bookman Old Style" w:hAnsi="Bookman Old Style"/>
          <w:sz w:val="22"/>
          <w:szCs w:val="22"/>
        </w:rPr>
        <w:t xml:space="preserve">3. </w:t>
      </w:r>
      <w:r w:rsidR="006F4742" w:rsidRPr="00004157">
        <w:rPr>
          <w:rFonts w:ascii="Bookman Old Style" w:hAnsi="Bookman Old Style"/>
          <w:sz w:val="22"/>
          <w:szCs w:val="22"/>
        </w:rPr>
        <w:t>Кабинет 1 площадь 10,87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расположен в боксе №1 используется как раздевалка</w:t>
      </w:r>
      <w:r w:rsidR="00BF1680" w:rsidRPr="00004157">
        <w:rPr>
          <w:rFonts w:ascii="Bookman Old Style" w:hAnsi="Bookman Old Style"/>
          <w:sz w:val="22"/>
          <w:szCs w:val="22"/>
        </w:rPr>
        <w:t>, т</w:t>
      </w:r>
      <w:r w:rsidR="006F4742" w:rsidRPr="00004157">
        <w:rPr>
          <w:rFonts w:ascii="Bookman Old Style" w:hAnsi="Bookman Old Style"/>
          <w:sz w:val="22"/>
          <w:szCs w:val="22"/>
        </w:rPr>
        <w:t>ёплый пол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линолеум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2 площадь 10,48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BF1680"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>тёплый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линолеум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3 площадь 34,8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имеет 3 рабочих места</w:t>
      </w:r>
      <w:r w:rsidR="00BF1680" w:rsidRPr="00004157">
        <w:rPr>
          <w:rFonts w:ascii="Bookman Old Style" w:hAnsi="Bookman Old Style"/>
          <w:sz w:val="22"/>
          <w:szCs w:val="22"/>
        </w:rPr>
        <w:t>, т</w:t>
      </w:r>
      <w:r w:rsidR="006F4742" w:rsidRPr="00004157">
        <w:rPr>
          <w:rFonts w:ascii="Bookman Old Style" w:hAnsi="Bookman Old Style"/>
          <w:sz w:val="22"/>
          <w:szCs w:val="22"/>
        </w:rPr>
        <w:t>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ламинат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4 (2 этаж) площадь 42,2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не используется (тёплые полы +электро тёплый пол)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5 (2 эта</w:t>
      </w:r>
      <w:r w:rsidR="00BF1680" w:rsidRPr="00004157">
        <w:rPr>
          <w:rFonts w:ascii="Bookman Old Style" w:hAnsi="Bookman Old Style"/>
          <w:sz w:val="22"/>
          <w:szCs w:val="22"/>
        </w:rPr>
        <w:t>ж</w:t>
      </w:r>
      <w:r w:rsidR="006F4742" w:rsidRPr="00004157">
        <w:rPr>
          <w:rFonts w:ascii="Bookman Old Style" w:hAnsi="Bookman Old Style"/>
          <w:sz w:val="22"/>
          <w:szCs w:val="22"/>
        </w:rPr>
        <w:t>) площадь 27,7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подготовлен как место для проживания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Студия (душ, туалет, кухонная зона, и спальная зона) тёплые полы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кафель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Туалет площадь 7,39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 </w:t>
      </w:r>
      <w:r w:rsidR="006F4742" w:rsidRPr="00004157">
        <w:rPr>
          <w:rFonts w:ascii="Bookman Old Style" w:hAnsi="Bookman Old Style"/>
          <w:sz w:val="22"/>
          <w:szCs w:val="22"/>
        </w:rPr>
        <w:t>(сан узел 1)</w:t>
      </w:r>
      <w:r w:rsidR="00854788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тёплый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подготовлен душ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кафель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Туалет площадь 8,54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>(сан узел 2)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теплый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переоборудован в склад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Склад</w:t>
      </w:r>
      <w:r w:rsidR="00C056F6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площадь 15,93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 xml:space="preserve">над (сан узел 1 и сан узел 2) заход с </w:t>
      </w:r>
      <w:r w:rsidR="003F281E" w:rsidRPr="00004157">
        <w:rPr>
          <w:rFonts w:ascii="Bookman Old Style" w:hAnsi="Bookman Old Style"/>
          <w:sz w:val="22"/>
          <w:szCs w:val="22"/>
        </w:rPr>
        <w:t>б</w:t>
      </w:r>
      <w:r w:rsidR="006F4742" w:rsidRPr="00004157">
        <w:rPr>
          <w:rFonts w:ascii="Bookman Old Style" w:hAnsi="Bookman Old Style"/>
          <w:sz w:val="22"/>
          <w:szCs w:val="22"/>
        </w:rPr>
        <w:t>окса 2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лестница</w:t>
      </w:r>
      <w:r w:rsidR="00BF1680" w:rsidRPr="00004157">
        <w:rPr>
          <w:rFonts w:ascii="Bookman Old Style" w:hAnsi="Bookman Old Style"/>
          <w:sz w:val="22"/>
          <w:szCs w:val="22"/>
        </w:rPr>
        <w:t xml:space="preserve"> (</w:t>
      </w:r>
      <w:r w:rsidR="006F4742" w:rsidRPr="00004157">
        <w:rPr>
          <w:rFonts w:ascii="Bookman Old Style" w:hAnsi="Bookman Old Style"/>
          <w:sz w:val="22"/>
          <w:szCs w:val="22"/>
        </w:rPr>
        <w:t>доска</w:t>
      </w:r>
      <w:r w:rsidR="00BF1680" w:rsidRPr="00004157">
        <w:rPr>
          <w:rFonts w:ascii="Bookman Old Style" w:hAnsi="Bookman Old Style"/>
          <w:sz w:val="22"/>
          <w:szCs w:val="22"/>
        </w:rPr>
        <w:t>).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1 площадь 60,41 </w:t>
      </w:r>
      <w:r w:rsidR="00BF1680" w:rsidRPr="00004157">
        <w:rPr>
          <w:rFonts w:ascii="Bookman Old Style" w:hAnsi="Bookman Old Style"/>
          <w:sz w:val="22"/>
          <w:szCs w:val="22"/>
        </w:rPr>
        <w:t>кв.м.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BF1680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тёплый пол, слив воды через систему отстойников и фильтрации, таль электрическая на 500 кг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пол кафель</w:t>
      </w:r>
      <w:r w:rsidR="00BF1680" w:rsidRPr="00004157">
        <w:rPr>
          <w:rFonts w:ascii="Bookman Old Style" w:hAnsi="Bookman Old Style"/>
          <w:sz w:val="22"/>
          <w:szCs w:val="22"/>
        </w:rPr>
        <w:t>, в</w:t>
      </w:r>
      <w:r w:rsidR="006F4742" w:rsidRPr="00004157">
        <w:rPr>
          <w:rFonts w:ascii="Bookman Old Style" w:hAnsi="Bookman Old Style"/>
          <w:sz w:val="22"/>
          <w:szCs w:val="22"/>
        </w:rPr>
        <w:t xml:space="preserve">орота </w:t>
      </w:r>
      <w:r w:rsidR="00BF1680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BF1680" w:rsidRPr="00004157">
        <w:rPr>
          <w:rFonts w:ascii="Bookman Old Style" w:hAnsi="Bookman Old Style"/>
          <w:sz w:val="22"/>
          <w:szCs w:val="22"/>
        </w:rPr>
        <w:t>»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электроприводом высота 3,1</w:t>
      </w:r>
      <w:r w:rsidR="003F281E" w:rsidRPr="00004157">
        <w:rPr>
          <w:rFonts w:ascii="Bookman Old Style" w:hAnsi="Bookman Old Style"/>
          <w:sz w:val="22"/>
          <w:szCs w:val="22"/>
        </w:rPr>
        <w:t>х</w:t>
      </w:r>
      <w:r w:rsidR="006F4742" w:rsidRPr="00004157">
        <w:rPr>
          <w:rFonts w:ascii="Bookman Old Style" w:hAnsi="Bookman Old Style"/>
          <w:sz w:val="22"/>
          <w:szCs w:val="22"/>
        </w:rPr>
        <w:t xml:space="preserve">2,73 </w:t>
      </w:r>
      <w:r w:rsidR="003F281E" w:rsidRPr="00004157">
        <w:rPr>
          <w:rFonts w:ascii="Bookman Old Style" w:hAnsi="Bookman Old Style"/>
          <w:sz w:val="22"/>
          <w:szCs w:val="22"/>
        </w:rPr>
        <w:t>м</w:t>
      </w:r>
      <w:r w:rsidR="003167C8" w:rsidRPr="00004157">
        <w:rPr>
          <w:rFonts w:ascii="Bookman Old Style" w:hAnsi="Bookman Old Style"/>
          <w:sz w:val="22"/>
          <w:szCs w:val="22"/>
        </w:rPr>
        <w:t>етр</w:t>
      </w:r>
      <w:r w:rsidR="003F281E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и дверь </w:t>
      </w:r>
      <w:r w:rsidR="00BF1680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BF1680" w:rsidRPr="00004157">
        <w:rPr>
          <w:rFonts w:ascii="Bookman Old Style" w:hAnsi="Bookman Old Style"/>
          <w:sz w:val="22"/>
          <w:szCs w:val="22"/>
        </w:rPr>
        <w:t>»,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дверь пластик</w:t>
      </w:r>
      <w:r w:rsidR="00BF1680" w:rsidRPr="00004157">
        <w:rPr>
          <w:rFonts w:ascii="Bookman Old Style" w:hAnsi="Bookman Old Style"/>
          <w:sz w:val="22"/>
          <w:szCs w:val="22"/>
        </w:rPr>
        <w:t>овая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2 площадь 72,31 </w:t>
      </w:r>
      <w:r w:rsidR="00BF1680" w:rsidRPr="00004157">
        <w:rPr>
          <w:rFonts w:ascii="Bookman Old Style" w:hAnsi="Bookman Old Style"/>
          <w:sz w:val="22"/>
          <w:szCs w:val="22"/>
        </w:rPr>
        <w:t>кв.м.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BF1680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тёплый пол, смотровая яма, слив воды через гаражный бокс 1 в систему отстойников и фильтрации, таль электрическая на 5 тон. Пол </w:t>
      </w:r>
      <w:r w:rsidR="003F281E" w:rsidRPr="00004157">
        <w:rPr>
          <w:rFonts w:ascii="Bookman Old Style" w:hAnsi="Bookman Old Style"/>
          <w:sz w:val="22"/>
          <w:szCs w:val="22"/>
        </w:rPr>
        <w:t xml:space="preserve">из </w:t>
      </w:r>
      <w:r w:rsidR="006F4742" w:rsidRPr="00004157">
        <w:rPr>
          <w:rFonts w:ascii="Bookman Old Style" w:hAnsi="Bookman Old Style"/>
          <w:sz w:val="22"/>
          <w:szCs w:val="22"/>
        </w:rPr>
        <w:t>полов</w:t>
      </w:r>
      <w:r w:rsidR="003F281E" w:rsidRPr="00004157">
        <w:rPr>
          <w:rFonts w:ascii="Bookman Old Style" w:hAnsi="Bookman Old Style"/>
          <w:sz w:val="22"/>
          <w:szCs w:val="22"/>
        </w:rPr>
        <w:t>ой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плитк</w:t>
      </w:r>
      <w:r w:rsidR="003F281E" w:rsidRPr="00004157">
        <w:rPr>
          <w:rFonts w:ascii="Bookman Old Style" w:hAnsi="Bookman Old Style"/>
          <w:sz w:val="22"/>
          <w:szCs w:val="22"/>
        </w:rPr>
        <w:t>и</w:t>
      </w:r>
      <w:r w:rsidR="006F4742" w:rsidRPr="00004157">
        <w:rPr>
          <w:rFonts w:ascii="Bookman Old Style" w:hAnsi="Bookman Old Style"/>
          <w:sz w:val="22"/>
          <w:szCs w:val="22"/>
        </w:rPr>
        <w:t xml:space="preserve"> и кафел</w:t>
      </w:r>
      <w:r w:rsidR="003F281E" w:rsidRPr="00004157">
        <w:rPr>
          <w:rFonts w:ascii="Bookman Old Style" w:hAnsi="Bookman Old Style"/>
          <w:sz w:val="22"/>
          <w:szCs w:val="22"/>
        </w:rPr>
        <w:t>я</w:t>
      </w:r>
      <w:r w:rsidR="006F4742" w:rsidRPr="00004157">
        <w:rPr>
          <w:rFonts w:ascii="Bookman Old Style" w:hAnsi="Bookman Old Style"/>
          <w:sz w:val="22"/>
          <w:szCs w:val="22"/>
        </w:rPr>
        <w:t xml:space="preserve">. Ворота </w:t>
      </w:r>
      <w:r w:rsidR="003F281E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3F281E" w:rsidRPr="00004157">
        <w:rPr>
          <w:rFonts w:ascii="Bookman Old Style" w:hAnsi="Bookman Old Style"/>
          <w:sz w:val="22"/>
          <w:szCs w:val="22"/>
        </w:rPr>
        <w:t>»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ручным цепным приводом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высот</w:t>
      </w:r>
      <w:r w:rsidR="003F281E" w:rsidRPr="00004157">
        <w:rPr>
          <w:rFonts w:ascii="Bookman Old Style" w:hAnsi="Bookman Old Style"/>
          <w:sz w:val="22"/>
          <w:szCs w:val="22"/>
        </w:rPr>
        <w:t>ой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4</w:t>
      </w:r>
      <w:r w:rsidR="003F281E" w:rsidRPr="00004157">
        <w:rPr>
          <w:rFonts w:ascii="Bookman Old Style" w:hAnsi="Bookman Old Style"/>
          <w:sz w:val="22"/>
          <w:szCs w:val="22"/>
        </w:rPr>
        <w:t>х</w:t>
      </w:r>
      <w:r w:rsidR="006F4742" w:rsidRPr="00004157">
        <w:rPr>
          <w:rFonts w:ascii="Bookman Old Style" w:hAnsi="Bookman Old Style"/>
          <w:sz w:val="22"/>
          <w:szCs w:val="22"/>
        </w:rPr>
        <w:t>3,4</w:t>
      </w:r>
      <w:r w:rsidR="003F281E" w:rsidRPr="00004157">
        <w:rPr>
          <w:rFonts w:ascii="Bookman Old Style" w:hAnsi="Bookman Old Style"/>
          <w:sz w:val="22"/>
          <w:szCs w:val="22"/>
        </w:rPr>
        <w:t>м</w:t>
      </w:r>
      <w:r w:rsidR="003167C8" w:rsidRPr="00004157">
        <w:rPr>
          <w:rFonts w:ascii="Bookman Old Style" w:hAnsi="Bookman Old Style"/>
          <w:sz w:val="22"/>
          <w:szCs w:val="22"/>
        </w:rPr>
        <w:t>етр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калиткой и окнами в дверях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3 площадь 117,5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>холодный (используется как склад)</w:t>
      </w:r>
      <w:r w:rsidR="00BF1680"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>можно утеплить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3F281E" w:rsidRPr="00004157">
        <w:rPr>
          <w:rFonts w:ascii="Bookman Old Style" w:hAnsi="Bookman Old Style"/>
          <w:sz w:val="22"/>
          <w:szCs w:val="22"/>
        </w:rPr>
        <w:t>Н</w:t>
      </w:r>
      <w:r w:rsidR="006F4742" w:rsidRPr="00004157">
        <w:rPr>
          <w:rFonts w:ascii="Bookman Old Style" w:hAnsi="Bookman Old Style"/>
          <w:sz w:val="22"/>
          <w:szCs w:val="22"/>
        </w:rPr>
        <w:t xml:space="preserve">асосная станция пожаротушения, назначение: нежилое, общей площадью 64,3 кв.м., этаж: 1, к/н 66:27:1102052:78 расположенное по адресу: Российская </w:t>
      </w:r>
      <w:r w:rsidR="00BF1680" w:rsidRPr="00004157">
        <w:rPr>
          <w:rFonts w:ascii="Bookman Old Style" w:hAnsi="Bookman Old Style"/>
          <w:sz w:val="22"/>
          <w:szCs w:val="22"/>
        </w:rPr>
        <w:t>Ф</w:t>
      </w:r>
      <w:r w:rsidR="006F4742" w:rsidRPr="00004157">
        <w:rPr>
          <w:rFonts w:ascii="Bookman Old Style" w:hAnsi="Bookman Old Style"/>
          <w:sz w:val="22"/>
          <w:szCs w:val="22"/>
        </w:rPr>
        <w:t>едерация</w:t>
      </w:r>
      <w:r w:rsidR="00854788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Свердловская область, Тавдинский городской округ город Тавда, ул. Фрунзе, д. 2а, строение №13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Объекты расположены на земельном участке, кадастровый номер: 66:27:1102052:197, площадь 830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Российская Федерация</w:t>
      </w:r>
      <w:r w:rsidR="00854788">
        <w:rPr>
          <w:rFonts w:ascii="Bookman Old Style" w:hAnsi="Bookman Old Style"/>
          <w:sz w:val="22"/>
          <w:szCs w:val="22"/>
        </w:rPr>
        <w:t>,</w:t>
      </w:r>
      <w:r w:rsidR="00275A66" w:rsidRPr="00004157">
        <w:rPr>
          <w:rFonts w:ascii="Bookman Old Style" w:hAnsi="Bookman Old Style"/>
          <w:sz w:val="22"/>
          <w:szCs w:val="22"/>
        </w:rPr>
        <w:t xml:space="preserve"> Свердловская область, Тавдинский городской округ город Тавда, ул. Фрунзе, д. 2а, строение №13. </w:t>
      </w:r>
      <w:r w:rsidR="00E948DC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Начальная цена</w:t>
      </w:r>
      <w:r w:rsidR="006F4742" w:rsidRPr="009D3104">
        <w:rPr>
          <w:rFonts w:ascii="Bookman Old Style" w:hAnsi="Bookman Old Style"/>
        </w:rPr>
        <w:t xml:space="preserve"> </w:t>
      </w:r>
      <w:r w:rsidR="00854788">
        <w:rPr>
          <w:rFonts w:ascii="Bookman Old Style" w:hAnsi="Bookman Old Style"/>
          <w:b/>
          <w:bCs/>
        </w:rPr>
        <w:t>29 000</w:t>
      </w:r>
      <w:r w:rsidR="006F4742" w:rsidRPr="009D3104">
        <w:rPr>
          <w:rFonts w:ascii="Bookman Old Style" w:hAnsi="Bookman Old Style"/>
          <w:b/>
          <w:bCs/>
        </w:rPr>
        <w:t xml:space="preserve"> 000 руб.00коп.</w:t>
      </w:r>
    </w:p>
    <w:p w14:paraId="447B9F90" w14:textId="77777777" w:rsidR="00854788" w:rsidRDefault="00854788" w:rsidP="002F65B7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bookmarkStart w:id="0" w:name="_Hlk199330634"/>
    </w:p>
    <w:p w14:paraId="3BA68A7F" w14:textId="1D1CBD2B" w:rsidR="00854788" w:rsidRDefault="00854788" w:rsidP="002F65B7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8. </w:t>
      </w:r>
      <w:r w:rsidRPr="00004157">
        <w:rPr>
          <w:rFonts w:ascii="Bookman Old Style" w:hAnsi="Bookman Old Style"/>
          <w:sz w:val="22"/>
        </w:rPr>
        <w:t xml:space="preserve">Помещение, назначение: нежилое, кадастровый номер 66:41:0313121:5940, площадь: общая 13.8 кв.м., номера на поэтажном плане: 31. Этаж: подземный.  </w:t>
      </w:r>
      <w:r>
        <w:rPr>
          <w:rFonts w:ascii="Bookman Old Style" w:hAnsi="Bookman Old Style"/>
          <w:sz w:val="22"/>
        </w:rPr>
        <w:t xml:space="preserve">Местонахождение: </w:t>
      </w:r>
      <w:r w:rsidRPr="009D3104">
        <w:rPr>
          <w:rFonts w:ascii="Bookman Old Style" w:hAnsi="Bookman Old Style"/>
          <w:sz w:val="22"/>
          <w:szCs w:val="22"/>
        </w:rPr>
        <w:t xml:space="preserve">Свердловская обл., Екатеринбург, ул. Краснолесья, 161а. Подземный паркинг, охраняемая территория, видеонаблюдение, заезд с пульта, между домами Краснолесья 161 и 149, р-н Академический, Свердловской области. 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5</w:t>
      </w:r>
      <w:r>
        <w:rPr>
          <w:rStyle w:val="blk3"/>
          <w:rFonts w:ascii="Book Antiqua" w:hAnsi="Book Antiqua"/>
          <w:b/>
          <w:bCs/>
          <w:szCs w:val="22"/>
        </w:rPr>
        <w:t>1</w:t>
      </w:r>
      <w:r w:rsidRPr="009D3104">
        <w:rPr>
          <w:rStyle w:val="blk3"/>
          <w:rFonts w:ascii="Book Antiqua" w:hAnsi="Book Antiqua"/>
          <w:b/>
          <w:bCs/>
          <w:szCs w:val="22"/>
        </w:rPr>
        <w:t>0 000 руб.00коп</w:t>
      </w:r>
      <w:r>
        <w:rPr>
          <w:rStyle w:val="blk3"/>
          <w:rFonts w:ascii="Book Antiqua" w:hAnsi="Book Antiqua"/>
          <w:b/>
          <w:bCs/>
          <w:szCs w:val="22"/>
        </w:rPr>
        <w:t>.</w:t>
      </w:r>
    </w:p>
    <w:p w14:paraId="4A2D6068" w14:textId="77777777" w:rsidR="00854788" w:rsidRDefault="00854788" w:rsidP="002F65B7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54BBFAF0" w14:textId="46F59E31" w:rsidR="00270C5B" w:rsidRPr="009D3104" w:rsidRDefault="00270C5B" w:rsidP="002F65B7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</w:t>
      </w:r>
      <w:r w:rsidR="00854788">
        <w:rPr>
          <w:rStyle w:val="blk3"/>
          <w:rFonts w:ascii="Book Antiqua" w:hAnsi="Book Antiqua"/>
          <w:b/>
          <w:bCs/>
          <w:szCs w:val="22"/>
        </w:rPr>
        <w:t>9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. </w:t>
      </w:r>
      <w:r w:rsidRPr="009D3104">
        <w:rPr>
          <w:rFonts w:ascii="Bookman Old Style" w:hAnsi="Bookman Old Style"/>
          <w:sz w:val="22"/>
          <w:szCs w:val="22"/>
        </w:rPr>
        <w:t xml:space="preserve">Земельный участок, категория земель: земли населенных пунктов, кадастровый номер: 66:44:0102002:1041, площадь 2285 </w:t>
      </w:r>
      <w:r w:rsidR="0023154C" w:rsidRPr="009D3104">
        <w:rPr>
          <w:rFonts w:ascii="Bookman Old Style" w:hAnsi="Bookman Old Style"/>
          <w:sz w:val="22"/>
          <w:szCs w:val="22"/>
        </w:rPr>
        <w:t xml:space="preserve">+/-17 </w:t>
      </w:r>
      <w:r w:rsidRPr="009D3104">
        <w:rPr>
          <w:rFonts w:ascii="Bookman Old Style" w:hAnsi="Bookman Old Style"/>
          <w:sz w:val="22"/>
          <w:szCs w:val="22"/>
        </w:rPr>
        <w:t>кв.м. Адрес (местоположение): Свердловская область, г. Ирбит, ул. Промышленная, 8-д. Разрешённое использование</w:t>
      </w:r>
      <w:r w:rsidR="0023154C" w:rsidRPr="009D3104">
        <w:rPr>
          <w:rFonts w:ascii="Bookman Old Style" w:hAnsi="Bookman Old Style"/>
          <w:sz w:val="22"/>
          <w:szCs w:val="22"/>
        </w:rPr>
        <w:t xml:space="preserve">: </w:t>
      </w:r>
      <w:r w:rsidRPr="009D3104">
        <w:rPr>
          <w:rFonts w:ascii="Bookman Old Style" w:hAnsi="Bookman Old Style"/>
          <w:sz w:val="22"/>
          <w:szCs w:val="22"/>
        </w:rPr>
        <w:t xml:space="preserve">под строительство открытой стоянки, офисного здания, склада. Участок электрифицирован 380 кВт, разрешённая к использованию мощность 45 </w:t>
      </w:r>
      <w:r w:rsidR="0023154C" w:rsidRPr="009D3104">
        <w:rPr>
          <w:rFonts w:ascii="Bookman Old Style" w:hAnsi="Bookman Old Style"/>
          <w:sz w:val="22"/>
          <w:szCs w:val="22"/>
        </w:rPr>
        <w:t>кВ с</w:t>
      </w:r>
      <w:r w:rsidRPr="009D3104">
        <w:rPr>
          <w:rFonts w:ascii="Bookman Old Style" w:hAnsi="Bookman Old Style"/>
          <w:sz w:val="22"/>
          <w:szCs w:val="22"/>
        </w:rPr>
        <w:t xml:space="preserve"> возможностью увеличения, центральный водопровод и центральное отопление,</w:t>
      </w:r>
      <w:r w:rsidR="0023154C" w:rsidRPr="009D3104">
        <w:rPr>
          <w:rFonts w:ascii="Bookman Old Style" w:hAnsi="Bookman Old Style"/>
          <w:sz w:val="22"/>
          <w:szCs w:val="22"/>
        </w:rPr>
        <w:t xml:space="preserve"> и</w:t>
      </w:r>
      <w:r w:rsidRPr="009D3104">
        <w:rPr>
          <w:rFonts w:ascii="Bookman Old Style" w:hAnsi="Bookman Old Style"/>
          <w:sz w:val="22"/>
          <w:szCs w:val="22"/>
        </w:rPr>
        <w:t>меется сруб (домик сторожа) 7*8 без регистрации.</w:t>
      </w:r>
      <w:r w:rsidR="0023154C"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sz w:val="22"/>
          <w:szCs w:val="22"/>
        </w:rPr>
        <w:t>По периметру огорожен забором из проф. листа. Имеется свой подъездной путь.</w:t>
      </w:r>
      <w:r w:rsidR="0023154C" w:rsidRPr="009D3104">
        <w:rPr>
          <w:rFonts w:ascii="Bookman Old Style" w:hAnsi="Bookman Old Style"/>
          <w:sz w:val="22"/>
          <w:szCs w:val="22"/>
        </w:rPr>
        <w:t xml:space="preserve"> </w:t>
      </w:r>
      <w:bookmarkStart w:id="1" w:name="_Hlk199851528"/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854788">
        <w:rPr>
          <w:rStyle w:val="blk3"/>
          <w:rFonts w:ascii="Book Antiqua" w:hAnsi="Book Antiqua"/>
          <w:b/>
          <w:bCs/>
          <w:szCs w:val="22"/>
        </w:rPr>
        <w:t>2</w:t>
      </w:r>
      <w:r w:rsidRPr="009D3104">
        <w:rPr>
          <w:rStyle w:val="blk3"/>
          <w:rFonts w:ascii="Book Antiqua" w:hAnsi="Book Antiqua"/>
          <w:b/>
          <w:bCs/>
          <w:szCs w:val="22"/>
        </w:rPr>
        <w:t> 150 000 руб.00коп.</w:t>
      </w:r>
      <w:bookmarkEnd w:id="1"/>
    </w:p>
    <w:bookmarkEnd w:id="0"/>
    <w:p w14:paraId="4BA4AF36" w14:textId="77777777" w:rsidR="000451F0" w:rsidRPr="009D3104" w:rsidRDefault="000451F0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44FEACCA" w14:textId="38771671" w:rsidR="00756101" w:rsidRPr="00004157" w:rsidRDefault="00756101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Fonts w:ascii="Bookman Old Style" w:hAnsi="Bookman Old Style"/>
          <w:sz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10. </w:t>
      </w:r>
      <w:bookmarkStart w:id="2" w:name="_Hlk199851572"/>
      <w:r w:rsidRPr="00004157">
        <w:rPr>
          <w:rFonts w:ascii="Bookman Old Style" w:hAnsi="Bookman Old Style"/>
          <w:sz w:val="22"/>
        </w:rPr>
        <w:t xml:space="preserve">Право на заключение договора аренды </w:t>
      </w:r>
      <w:bookmarkEnd w:id="2"/>
      <w:r w:rsidRPr="00004157">
        <w:rPr>
          <w:rFonts w:ascii="Bookman Old Style" w:hAnsi="Bookman Old Style"/>
          <w:sz w:val="22"/>
        </w:rPr>
        <w:t xml:space="preserve">нежилого здания: административное здание, расположенное по адресу: Свердловская обл., г. Тавда, ул. 9 Января, д. 138, кадастровый номер 66:27:1102022:391, площадь 75,4 кв.м. литер: Б (здание хлебзавода). </w:t>
      </w:r>
    </w:p>
    <w:p w14:paraId="5F0FA5F8" w14:textId="7FC81B31" w:rsidR="00756101" w:rsidRDefault="00756101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004157">
        <w:rPr>
          <w:rFonts w:ascii="Bookman Old Style" w:hAnsi="Bookman Old Style"/>
          <w:sz w:val="22"/>
        </w:rPr>
        <w:t xml:space="preserve">Вид договора: </w:t>
      </w:r>
      <w:r w:rsidR="009A4851" w:rsidRPr="00004157">
        <w:rPr>
          <w:rFonts w:ascii="Bookman Old Style" w:hAnsi="Bookman Old Style"/>
          <w:sz w:val="22"/>
        </w:rPr>
        <w:t>д</w:t>
      </w:r>
      <w:r w:rsidRPr="00004157">
        <w:rPr>
          <w:rFonts w:ascii="Bookman Old Style" w:hAnsi="Bookman Old Style"/>
          <w:sz w:val="22"/>
        </w:rPr>
        <w:t>оговор аренды</w:t>
      </w:r>
      <w:r w:rsidR="003F281E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Порядок арендной платы: </w:t>
      </w:r>
      <w:r w:rsidR="009A4851" w:rsidRPr="00004157">
        <w:rPr>
          <w:rFonts w:ascii="Bookman Old Style" w:hAnsi="Bookman Old Style"/>
          <w:sz w:val="22"/>
        </w:rPr>
        <w:t>е</w:t>
      </w:r>
      <w:r w:rsidRPr="00004157">
        <w:rPr>
          <w:rFonts w:ascii="Bookman Old Style" w:hAnsi="Bookman Old Style"/>
          <w:sz w:val="22"/>
        </w:rPr>
        <w:t>жемесячный платеж</w:t>
      </w:r>
      <w:r w:rsidR="00BF7CAC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</w:t>
      </w:r>
      <w:r w:rsidR="00BF7CAC" w:rsidRPr="00004157">
        <w:rPr>
          <w:rFonts w:ascii="Bookman Old Style" w:hAnsi="Bookman Old Style"/>
          <w:sz w:val="22"/>
        </w:rPr>
        <w:t>О</w:t>
      </w:r>
      <w:r w:rsidRPr="00004157">
        <w:rPr>
          <w:rFonts w:ascii="Bookman Old Style" w:hAnsi="Bookman Old Style"/>
          <w:sz w:val="22"/>
        </w:rPr>
        <w:t>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</w:t>
      </w:r>
      <w:r w:rsidR="003F281E" w:rsidRPr="00004157">
        <w:rPr>
          <w:rFonts w:ascii="Bookman Old Style" w:hAnsi="Bookman Old Style"/>
          <w:sz w:val="22"/>
        </w:rPr>
        <w:t>, р</w:t>
      </w:r>
      <w:r w:rsidRPr="00004157">
        <w:rPr>
          <w:rFonts w:ascii="Bookman Old Style" w:hAnsi="Bookman Old Style"/>
          <w:sz w:val="22"/>
        </w:rPr>
        <w:t xml:space="preserve"> /счет 40702810302500071634</w:t>
      </w:r>
      <w:r w:rsidR="003F281E" w:rsidRPr="00004157">
        <w:rPr>
          <w:rFonts w:ascii="Bookman Old Style" w:hAnsi="Bookman Old Style"/>
          <w:sz w:val="22"/>
        </w:rPr>
        <w:t xml:space="preserve">, </w:t>
      </w:r>
      <w:r w:rsidRPr="00004157">
        <w:rPr>
          <w:rFonts w:ascii="Bookman Old Style" w:hAnsi="Bookman Old Style"/>
          <w:sz w:val="22"/>
        </w:rPr>
        <w:t>к/ счет 30101810745374525104</w:t>
      </w:r>
      <w:r w:rsidR="00BF7CAC" w:rsidRPr="00004157">
        <w:rPr>
          <w:rFonts w:ascii="Bookman Old Style" w:hAnsi="Bookman Old Style"/>
          <w:sz w:val="22"/>
        </w:rPr>
        <w:t xml:space="preserve">, </w:t>
      </w:r>
      <w:r w:rsidRPr="00004157">
        <w:rPr>
          <w:rFonts w:ascii="Bookman Old Style" w:hAnsi="Bookman Old Style"/>
          <w:sz w:val="22"/>
        </w:rPr>
        <w:t>БИК 044525104</w:t>
      </w:r>
      <w:r w:rsidR="003F281E" w:rsidRPr="00004157">
        <w:rPr>
          <w:rFonts w:ascii="Bookman Old Style" w:hAnsi="Bookman Old Style"/>
          <w:sz w:val="22"/>
        </w:rPr>
        <w:t>.</w:t>
      </w:r>
      <w:r w:rsidR="003741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Срок действия договора 5 лет</w:t>
      </w:r>
      <w:r w:rsidR="009A4851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Срок, в течение которого должен быть подписан проект договора: </w:t>
      </w:r>
      <w:r w:rsidR="00BF7CAC" w:rsidRPr="00004157">
        <w:rPr>
          <w:rFonts w:ascii="Bookman Old Style" w:hAnsi="Bookman Old Style"/>
          <w:sz w:val="22"/>
        </w:rPr>
        <w:t>п</w:t>
      </w:r>
      <w:r w:rsidRPr="00004157">
        <w:rPr>
          <w:rFonts w:ascii="Bookman Old Style" w:hAnsi="Bookman Old Style"/>
          <w:sz w:val="22"/>
        </w:rPr>
        <w:t xml:space="preserve">роект договора должен быть подписан сторонами не ранее чем через 10 дней со дня размещения протокола подведения </w:t>
      </w:r>
      <w:r w:rsidR="0037419C" w:rsidRPr="00004157">
        <w:rPr>
          <w:rFonts w:ascii="Bookman Old Style" w:hAnsi="Bookman Old Style"/>
          <w:sz w:val="22"/>
        </w:rPr>
        <w:t>результатов торгов</w:t>
      </w:r>
      <w:r w:rsidR="009A4851" w:rsidRPr="00004157">
        <w:rPr>
          <w:rFonts w:ascii="Bookman Old Style" w:hAnsi="Bookman Old Style"/>
          <w:sz w:val="22"/>
        </w:rPr>
        <w:t xml:space="preserve"> на ЭТП.</w:t>
      </w:r>
      <w:r w:rsidRPr="009D3104">
        <w:rPr>
          <w:rStyle w:val="blk3"/>
          <w:rFonts w:ascii="Book Antiqua" w:hAnsi="Book Antiqua"/>
          <w:szCs w:val="22"/>
        </w:rPr>
        <w:t xml:space="preserve"> </w:t>
      </w:r>
      <w:bookmarkStart w:id="3" w:name="_Hlk199851632"/>
      <w:r w:rsidRPr="009D3104">
        <w:rPr>
          <w:rStyle w:val="blk3"/>
          <w:rFonts w:ascii="Book Antiqua" w:hAnsi="Book Antiqua"/>
          <w:b/>
          <w:bCs/>
          <w:szCs w:val="22"/>
        </w:rPr>
        <w:t>Начальная цена</w:t>
      </w:r>
      <w:r w:rsidR="007A7F7C" w:rsidRPr="007A7F7C">
        <w:rPr>
          <w:rStyle w:val="blk3"/>
          <w:rFonts w:ascii="Book Antiqua" w:hAnsi="Book Antiqua"/>
          <w:szCs w:val="22"/>
        </w:rPr>
        <w:t xml:space="preserve"> </w:t>
      </w:r>
      <w:r w:rsidR="007A7F7C" w:rsidRPr="007A7F7C">
        <w:rPr>
          <w:rStyle w:val="blk3"/>
          <w:rFonts w:ascii="Book Antiqua" w:hAnsi="Book Antiqua"/>
          <w:b/>
          <w:bCs/>
          <w:szCs w:val="22"/>
        </w:rPr>
        <w:t>за ежемесячный арендный платеж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: </w:t>
      </w:r>
      <w:r w:rsidR="007A7F7C">
        <w:rPr>
          <w:rStyle w:val="blk3"/>
          <w:rFonts w:ascii="Book Antiqua" w:hAnsi="Book Antiqua"/>
          <w:b/>
          <w:bCs/>
          <w:szCs w:val="22"/>
        </w:rPr>
        <w:t>39 208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руб.00коп</w:t>
      </w:r>
      <w:bookmarkEnd w:id="3"/>
      <w:r w:rsidR="007C14CD" w:rsidRPr="009D3104">
        <w:rPr>
          <w:rStyle w:val="blk3"/>
          <w:rFonts w:ascii="Book Antiqua" w:hAnsi="Book Antiqua"/>
          <w:b/>
          <w:bCs/>
          <w:szCs w:val="22"/>
        </w:rPr>
        <w:t xml:space="preserve">. </w:t>
      </w:r>
    </w:p>
    <w:p w14:paraId="59F702DE" w14:textId="77777777" w:rsidR="007A7F7C" w:rsidRDefault="007A7F7C" w:rsidP="002F65B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2378FFEB" w14:textId="2F634964" w:rsidR="00F53918" w:rsidRPr="00F53918" w:rsidRDefault="007A7F7C" w:rsidP="00F53918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7A7F7C">
        <w:rPr>
          <w:rStyle w:val="blk3"/>
          <w:rFonts w:ascii="Book Antiqua" w:hAnsi="Book Antiqua"/>
          <w:b/>
          <w:bCs/>
          <w:szCs w:val="22"/>
        </w:rPr>
        <w:t>Лот 11.</w:t>
      </w:r>
      <w:r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F53918" w:rsidRPr="00F53918">
        <w:rPr>
          <w:rStyle w:val="blk3"/>
          <w:rFonts w:ascii="Book Antiqua" w:hAnsi="Book Antiqua"/>
          <w:szCs w:val="22"/>
        </w:rPr>
        <w:t xml:space="preserve">Силовой масляный трансформатор </w:t>
      </w:r>
      <w:r w:rsidR="00F53918">
        <w:rPr>
          <w:rStyle w:val="blk3"/>
          <w:rFonts w:ascii="Book Antiqua" w:hAnsi="Book Antiqua"/>
          <w:szCs w:val="22"/>
        </w:rPr>
        <w:t xml:space="preserve">№ 306883, ТИП ТМ 25/10-65 </w:t>
      </w:r>
      <w:r w:rsidR="00F53918" w:rsidRPr="00F53918">
        <w:rPr>
          <w:rStyle w:val="blk3"/>
          <w:rFonts w:ascii="Book Antiqua" w:hAnsi="Book Antiqua"/>
          <w:szCs w:val="22"/>
        </w:rPr>
        <w:t>с герметичным баком на номинальную полную мощность 25 кВА на напряжение 10 кВ ВН и 400 В НН</w:t>
      </w:r>
      <w:r w:rsidR="00F53918">
        <w:rPr>
          <w:rStyle w:val="blk3"/>
          <w:rFonts w:ascii="Book Antiqua" w:hAnsi="Book Antiqua"/>
          <w:szCs w:val="22"/>
        </w:rPr>
        <w:t>,</w:t>
      </w:r>
      <w:r w:rsidR="00F53918" w:rsidRPr="00F53918">
        <w:rPr>
          <w:rStyle w:val="blk3"/>
          <w:rFonts w:ascii="Book Antiqua" w:hAnsi="Book Antiqua"/>
          <w:szCs w:val="22"/>
        </w:rPr>
        <w:t xml:space="preserve"> предназначен для установки на трансформаторных подстанциях для преобразования электроэнергии с ее последующей подачей к потребителям. Трансформатор не требует капитального ремонта и дополнительных испытаний на протяжении всего срока службы, составляющего 25–30 лет. </w:t>
      </w:r>
      <w:r w:rsidR="00F53918">
        <w:rPr>
          <w:rStyle w:val="blk3"/>
          <w:rFonts w:ascii="Book Antiqua" w:hAnsi="Book Antiqua"/>
          <w:szCs w:val="22"/>
        </w:rPr>
        <w:t xml:space="preserve">Местонахождение имущества: </w:t>
      </w:r>
      <w:r w:rsidR="00F53918" w:rsidRPr="00EC6D54">
        <w:t>Российская Федерация, Свердловская область, г. Тавда, ул. Кардонская д. 19</w:t>
      </w:r>
      <w:r w:rsidR="00F53918">
        <w:t xml:space="preserve">. </w:t>
      </w:r>
      <w:r w:rsidR="00F53918"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="00F53918" w:rsidRPr="00004157">
        <w:rPr>
          <w:rFonts w:ascii="Bookman Old Style" w:hAnsi="Bookman Old Style"/>
          <w:sz w:val="22"/>
        </w:rPr>
        <w:t>цена</w:t>
      </w:r>
      <w:r w:rsidR="00F53918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F53918">
        <w:rPr>
          <w:rStyle w:val="blk3"/>
          <w:rFonts w:ascii="Book Antiqua" w:hAnsi="Book Antiqua"/>
          <w:b/>
          <w:bCs/>
          <w:szCs w:val="22"/>
        </w:rPr>
        <w:t>40</w:t>
      </w:r>
      <w:r w:rsidR="00F53918" w:rsidRPr="009D3104">
        <w:rPr>
          <w:rStyle w:val="blk3"/>
          <w:rFonts w:ascii="Book Antiqua" w:hAnsi="Book Antiqua"/>
          <w:b/>
          <w:bCs/>
          <w:szCs w:val="22"/>
        </w:rPr>
        <w:t xml:space="preserve"> 000 руб.00коп.</w:t>
      </w:r>
    </w:p>
    <w:p w14:paraId="73FE8D3F" w14:textId="77777777" w:rsidR="00F53918" w:rsidRPr="00F53918" w:rsidRDefault="00F53918" w:rsidP="00F53918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szCs w:val="22"/>
        </w:rPr>
      </w:pPr>
    </w:p>
    <w:p w14:paraId="077D908B" w14:textId="77777777" w:rsidR="00F53918" w:rsidRPr="00F53918" w:rsidRDefault="00F53918" w:rsidP="00F53918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1E7B33EA" w14:textId="5728C2A5" w:rsidR="004426B6" w:rsidRPr="009D3104" w:rsidRDefault="00F53918" w:rsidP="002F65B7">
      <w:pPr>
        <w:tabs>
          <w:tab w:val="left" w:pos="388"/>
          <w:tab w:val="left" w:pos="2797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. Шаг аукциона: </w:t>
      </w:r>
      <w:r w:rsidR="00DC1D57" w:rsidRPr="009D3104">
        <w:rPr>
          <w:rFonts w:ascii="Bookman Old Style" w:hAnsi="Bookman Old Style"/>
          <w:b/>
          <w:bCs/>
          <w:sz w:val="22"/>
          <w:szCs w:val="22"/>
        </w:rPr>
        <w:t>5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 % от начальной цены; </w:t>
      </w:r>
    </w:p>
    <w:p w14:paraId="77834869" w14:textId="51281474" w:rsidR="004426B6" w:rsidRPr="009D3104" w:rsidRDefault="00F53918" w:rsidP="002F65B7">
      <w:pPr>
        <w:tabs>
          <w:tab w:val="left" w:pos="38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 Размер задатка: 10 % от начальной цены;</w:t>
      </w:r>
    </w:p>
    <w:p w14:paraId="027DCB06" w14:textId="30D1C7D3" w:rsidR="004426B6" w:rsidRPr="009D3104" w:rsidRDefault="00F53918" w:rsidP="002F65B7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5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Начало приема заявок: </w:t>
      </w:r>
      <w:r w:rsidR="007A7F7C">
        <w:rPr>
          <w:rFonts w:ascii="Bookman Old Style" w:hAnsi="Bookman Old Style"/>
          <w:b/>
          <w:bCs/>
          <w:sz w:val="22"/>
          <w:szCs w:val="22"/>
        </w:rPr>
        <w:t>21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7A7F7C">
        <w:rPr>
          <w:rFonts w:ascii="Bookman Old Style" w:hAnsi="Bookman Old Style"/>
          <w:b/>
          <w:bCs/>
          <w:sz w:val="22"/>
          <w:szCs w:val="22"/>
        </w:rPr>
        <w:t>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  <w:r w:rsidR="00E948DC">
        <w:rPr>
          <w:rFonts w:ascii="Bookman Old Style" w:hAnsi="Bookman Old Style"/>
          <w:b/>
          <w:bCs/>
          <w:sz w:val="22"/>
          <w:szCs w:val="22"/>
        </w:rPr>
        <w:t>;</w:t>
      </w:r>
    </w:p>
    <w:p w14:paraId="2EE267CB" w14:textId="4227A567" w:rsidR="004426B6" w:rsidRPr="009D3104" w:rsidRDefault="00F53918" w:rsidP="002F65B7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6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Окончание приема заявок: </w:t>
      </w:r>
      <w:r w:rsidR="00D333D5">
        <w:rPr>
          <w:rFonts w:ascii="Bookman Old Style" w:hAnsi="Bookman Old Style"/>
          <w:b/>
          <w:bCs/>
          <w:sz w:val="22"/>
          <w:szCs w:val="22"/>
        </w:rPr>
        <w:t>18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D333D5">
        <w:rPr>
          <w:rFonts w:ascii="Bookman Old Style" w:hAnsi="Bookman Old Style"/>
          <w:b/>
          <w:bCs/>
          <w:sz w:val="22"/>
          <w:szCs w:val="22"/>
        </w:rPr>
        <w:t>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  <w:r w:rsidR="00E948DC">
        <w:rPr>
          <w:rFonts w:ascii="Bookman Old Style" w:hAnsi="Bookman Old Style"/>
          <w:b/>
          <w:bCs/>
          <w:sz w:val="22"/>
          <w:szCs w:val="22"/>
        </w:rPr>
        <w:t>;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3EB49C95" w14:textId="76FF94D6" w:rsidR="004426B6" w:rsidRPr="009D3104" w:rsidRDefault="00F53918" w:rsidP="002F65B7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Прием ценовых предложений: </w:t>
      </w:r>
      <w:r w:rsidR="00D333D5">
        <w:rPr>
          <w:rFonts w:ascii="Bookman Old Style" w:hAnsi="Bookman Old Style"/>
          <w:b/>
          <w:bCs/>
          <w:sz w:val="22"/>
          <w:szCs w:val="22"/>
        </w:rPr>
        <w:t>19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D333D5">
        <w:rPr>
          <w:rFonts w:ascii="Bookman Old Style" w:hAnsi="Bookman Old Style"/>
          <w:b/>
          <w:bCs/>
          <w:sz w:val="22"/>
          <w:szCs w:val="22"/>
        </w:rPr>
        <w:t>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  <w:r w:rsidR="00E948DC">
        <w:rPr>
          <w:rFonts w:ascii="Bookman Old Style" w:hAnsi="Bookman Old Style"/>
          <w:b/>
          <w:bCs/>
          <w:sz w:val="22"/>
          <w:szCs w:val="22"/>
        </w:rPr>
        <w:t>;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31E7D5B3" w14:textId="35B4FA48" w:rsidR="004426B6" w:rsidRPr="009D3104" w:rsidRDefault="00F53918" w:rsidP="002F65B7">
      <w:pPr>
        <w:tabs>
          <w:tab w:val="left" w:pos="388"/>
          <w:tab w:val="left" w:pos="4075"/>
          <w:tab w:val="left" w:pos="572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Подведение результатов торгов </w:t>
      </w:r>
      <w:r w:rsidR="004426B6" w:rsidRPr="009D3104">
        <w:rPr>
          <w:rFonts w:ascii="Bookman Old Style" w:eastAsia="Book Antiqua" w:hAnsi="Bookman Old Style" w:cs="Book Antiqua"/>
          <w:bCs/>
          <w:iCs/>
          <w:sz w:val="22"/>
          <w:szCs w:val="22"/>
        </w:rPr>
        <w:t>(дата и время будут продлены в случае продолжения приема ценовых предложений):</w:t>
      </w:r>
      <w:r w:rsidR="004426B6" w:rsidRPr="009D3104">
        <w:rPr>
          <w:rFonts w:ascii="Bookman Old Style" w:eastAsia="Book Antiqua" w:hAnsi="Bookman Old Style" w:cs="Book Antiqua"/>
          <w:b/>
          <w:iCs/>
          <w:sz w:val="22"/>
          <w:szCs w:val="22"/>
        </w:rPr>
        <w:t xml:space="preserve"> </w:t>
      </w:r>
      <w:r w:rsidR="00D333D5">
        <w:rPr>
          <w:rFonts w:ascii="Bookman Old Style" w:eastAsia="Book Antiqua" w:hAnsi="Bookman Old Style"/>
          <w:b/>
          <w:sz w:val="22"/>
          <w:szCs w:val="22"/>
        </w:rPr>
        <w:t>1</w:t>
      </w:r>
      <w:r w:rsidR="002007ED" w:rsidRPr="009D3104">
        <w:rPr>
          <w:rFonts w:ascii="Bookman Old Style" w:eastAsia="Book Antiqua" w:hAnsi="Bookman Old Style"/>
          <w:b/>
          <w:sz w:val="22"/>
          <w:szCs w:val="22"/>
        </w:rPr>
        <w:t>9</w:t>
      </w:r>
      <w:r w:rsidR="004426B6" w:rsidRPr="009D3104">
        <w:rPr>
          <w:rFonts w:ascii="Bookman Old Style" w:eastAsia="Book Antiqua" w:hAnsi="Bookman Old Style"/>
          <w:b/>
          <w:sz w:val="22"/>
          <w:szCs w:val="22"/>
        </w:rPr>
        <w:t>.0</w:t>
      </w:r>
      <w:r w:rsidR="00D333D5">
        <w:rPr>
          <w:rFonts w:ascii="Bookman Old Style" w:eastAsia="Book Antiqua" w:hAnsi="Bookman Old Style"/>
          <w:b/>
          <w:sz w:val="22"/>
          <w:szCs w:val="22"/>
        </w:rPr>
        <w:t>8</w:t>
      </w:r>
      <w:r w:rsidR="004426B6" w:rsidRPr="009D3104">
        <w:rPr>
          <w:rFonts w:ascii="Bookman Old Style" w:eastAsia="Book Antiqua" w:hAnsi="Bookman Old Style"/>
          <w:b/>
          <w:sz w:val="22"/>
          <w:szCs w:val="22"/>
        </w:rPr>
        <w:t>.2025 12:00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25FDF824" w14:textId="16991938" w:rsidR="004426B6" w:rsidRPr="009D3104" w:rsidRDefault="00F53918" w:rsidP="002F65B7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9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. Место проведения и подведения результатов торгов: </w:t>
      </w:r>
      <w:r w:rsidR="004426B6" w:rsidRPr="009D3104">
        <w:rPr>
          <w:rFonts w:ascii="Bookman Old Style" w:hAnsi="Bookman Old Style"/>
          <w:sz w:val="22"/>
          <w:szCs w:val="22"/>
        </w:rPr>
        <w:t>Электронная торговая площадка https://этп.торги-россии.рф.</w:t>
      </w:r>
    </w:p>
    <w:p w14:paraId="1B2534D4" w14:textId="7E933559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0</w:t>
      </w:r>
      <w:r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b/>
          <w:bCs/>
          <w:sz w:val="22"/>
          <w:szCs w:val="22"/>
        </w:rPr>
        <w:t>Сроки и порядок внесения и возврата задатка, реквизиты счетов, на которые вносится задаток</w:t>
      </w:r>
      <w:r w:rsidRPr="009D3104">
        <w:rPr>
          <w:rFonts w:ascii="Bookman Old Style" w:hAnsi="Bookman Old Style"/>
          <w:sz w:val="22"/>
          <w:szCs w:val="22"/>
        </w:rPr>
        <w:t xml:space="preserve">: Для участия в торгах заявитель регистрируется на сайте https://этп.торги-россии.рф, представляет в установленный срок заявку на участие в торгах и не позднее окончания срока приема заявок вносит задаток в размере установленном организатором торгов на расчетный счет Оператора электронной площадки: наименование получателя: ООО «ТР», ИНН 6234178537, КПП 623401001, Р/с 40702810812040001075, Банк Филиал «Центральный» Банка ВТБ (ПАО), К/с 30101810145250000411, БИК 044525411. Назначение платежа при пополнении лицевого счета Пользователя ЭТП: «Задаток для участия в торгах (пополнение лицевого счета (оплата задатков) №XXXXX)». Задаток должен быть внесен Пользователем ЭТП путем блокирования денежных средств в размере задатка Оператором в момент подачи </w:t>
      </w:r>
      <w:r w:rsidRPr="009D3104">
        <w:rPr>
          <w:rFonts w:ascii="Bookman Old Style" w:hAnsi="Bookman Old Style"/>
          <w:sz w:val="22"/>
          <w:szCs w:val="22"/>
        </w:rPr>
        <w:lastRenderedPageBreak/>
        <w:t>Пользователем ЭТП заявки на участие в торгах до окончания срока приема заявок на участие в торгах. Задаток возвращается всем Пользователям ЭТП, принимавшим участие в торгах, путем прекращения блокирования денежных средств в размере задатка, за исключением Победителя торгов, в порядке, предусмотренном пунктами 7.1, 7.2, 7.3, 7.4 Регламента ЭТП портала «Торги России» в секции «Реализация имущества». Оплата задатка участником торгов является подтверждением заключения договора задатка.</w:t>
      </w:r>
    </w:p>
    <w:p w14:paraId="7D6861E2" w14:textId="75DBE3B8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1</w:t>
      </w:r>
      <w:r w:rsidRPr="009D3104">
        <w:rPr>
          <w:rFonts w:ascii="Bookman Old Style" w:hAnsi="Bookman Old Style"/>
          <w:b/>
          <w:bCs/>
          <w:sz w:val="22"/>
          <w:szCs w:val="22"/>
        </w:rPr>
        <w:t>. Порядок оформления участия в торгах, перечень представляемых участниками торгов документов и требования к их оформлению:</w:t>
      </w:r>
      <w:r w:rsidRPr="009D3104">
        <w:rPr>
          <w:rFonts w:ascii="Bookman Old Style" w:hAnsi="Bookman Old Style"/>
          <w:sz w:val="22"/>
          <w:szCs w:val="22"/>
        </w:rPr>
        <w:t xml:space="preserve"> При подаче заявки на участие в торгах Претендентом предоставляются следующие документы: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Копии всех листов документа, удостоверяющего личность (для физических лиц и ИП); Копию свидетельства о постановке на учет физического лица в налоговом органе по месту жительства претендента (свидетельство ИНН, СНИЛС) (для физических лиц и ИП); Копию свидетельства о внесении физического лица в Единый государственный реестр индивидуальных предпринимателей/листа записи ЕГРИП (для ИП); Выписку из Единого реестра индивидуальных предпринимателей, полученную не ранее чем за 1 (один) месяц до дня подачи заявки на участие в торгах (для ИП); Копии,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 (для юридических лиц); Решение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 (для юридических лиц); Выписку из Единого государственного реестра юридических лиц, полученную не ранее чем за 1 (один) месяц до дня подачи заявки на участие в торгах (для юридических лиц). Документы, прилагаемые к заявке, представляются в форме электронных документов, подписанных квалифицированной электронной подписью заявителя. Формы документов и требования к Претендентам, а также проект договора купли-продажи и акта приема-передачи размещены на сайте ЭТП. 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8801623" w14:textId="3B674548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2</w:t>
      </w:r>
      <w:r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b/>
          <w:bCs/>
          <w:sz w:val="22"/>
          <w:szCs w:val="22"/>
        </w:rPr>
        <w:t>Порядок, место, сроки и время представления заявок на участие в торгах и предложений по цене:</w:t>
      </w:r>
      <w:r w:rsidRPr="009D3104">
        <w:rPr>
          <w:rFonts w:ascii="Bookman Old Style" w:hAnsi="Bookman Old Style"/>
          <w:sz w:val="22"/>
          <w:szCs w:val="22"/>
        </w:rPr>
        <w:t xml:space="preserve"> К участию в торгах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</w:t>
      </w:r>
    </w:p>
    <w:p w14:paraId="031C6479" w14:textId="4EF0AF9D" w:rsidR="0065357D" w:rsidRPr="009D3104" w:rsidRDefault="004426B6" w:rsidP="002F65B7">
      <w:pPr>
        <w:shd w:val="clear" w:color="auto" w:fill="FFFFFF" w:themeFill="background1"/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3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 Порядок ознакомления с имуществом: </w:t>
      </w:r>
    </w:p>
    <w:p w14:paraId="54DDFA15" w14:textId="4C80C542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>Дополнительная 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торгов по адресу: optimal.tr@yandex.ru. Показ имущества проводится после направления запроса Организатору торгов по адресу: optimal.tr@yandex.ru.</w:t>
      </w:r>
    </w:p>
    <w:p w14:paraId="62CFC866" w14:textId="1CA0753A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lastRenderedPageBreak/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4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 Порядок и критерии определения победителей торгов: </w:t>
      </w:r>
      <w:r w:rsidRPr="009D3104">
        <w:rPr>
          <w:rFonts w:ascii="Bookman Old Style" w:hAnsi="Bookman Old Style"/>
          <w:sz w:val="22"/>
          <w:szCs w:val="22"/>
        </w:rPr>
        <w:t>Победителем торгов признается Участник, предложивший наиболее высокую цену.</w:t>
      </w:r>
    </w:p>
    <w:p w14:paraId="5847E9EA" w14:textId="5E18869F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5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.Порядок и срок заключения договора купли-продажи: </w:t>
      </w:r>
      <w:r w:rsidRPr="009D3104">
        <w:rPr>
          <w:rFonts w:ascii="Bookman Old Style" w:hAnsi="Bookman Old Style"/>
          <w:sz w:val="22"/>
          <w:szCs w:val="22"/>
        </w:rPr>
        <w:t>Договор купли-продажи (далее – ДКП)</w:t>
      </w:r>
      <w:r w:rsidR="0037419C" w:rsidRPr="009D3104">
        <w:rPr>
          <w:rFonts w:ascii="Bookman Old Style" w:hAnsi="Bookman Old Style"/>
          <w:sz w:val="22"/>
          <w:szCs w:val="22"/>
        </w:rPr>
        <w:t>, договор аренды</w:t>
      </w:r>
      <w:r w:rsidRPr="009D3104">
        <w:rPr>
          <w:rFonts w:ascii="Bookman Old Style" w:hAnsi="Bookman Old Style"/>
          <w:sz w:val="22"/>
          <w:szCs w:val="22"/>
        </w:rPr>
        <w:t xml:space="preserve"> заключается между Продавцом (собственником Лота) </w:t>
      </w:r>
      <w:r w:rsidR="006E44B3" w:rsidRPr="009D3104">
        <w:rPr>
          <w:rFonts w:ascii="Bookman Old Style" w:hAnsi="Bookman Old Style"/>
          <w:sz w:val="22"/>
          <w:szCs w:val="22"/>
        </w:rPr>
        <w:t xml:space="preserve">и Победителем торгов </w:t>
      </w:r>
      <w:r w:rsidRPr="009D3104">
        <w:rPr>
          <w:rFonts w:ascii="Bookman Old Style" w:hAnsi="Bookman Old Style"/>
          <w:sz w:val="22"/>
          <w:szCs w:val="22"/>
        </w:rPr>
        <w:t>по цене, определенной по итогам торгов за Лот. Собственник имущества обязуется направить победителю Торгов по адресу, указанному в заявке на участие в Торгах, проект договора по результатам Торгов в срок не позднее 5 (пяти) рабочих дней с даты размещения на ЭТП протокола о результатах</w:t>
      </w:r>
      <w:r w:rsidR="006E44B3"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sz w:val="22"/>
          <w:szCs w:val="22"/>
        </w:rPr>
        <w:t>Торгов. При уклонении или отказе Победителя Торгов от подписания протокола о результатах проведения торгов, заключения в установленный срок ДКП,</w:t>
      </w:r>
      <w:r w:rsidR="00D907A2">
        <w:rPr>
          <w:rFonts w:ascii="Bookman Old Style" w:hAnsi="Bookman Old Style"/>
          <w:sz w:val="22"/>
          <w:szCs w:val="22"/>
        </w:rPr>
        <w:t xml:space="preserve"> договора аренды</w:t>
      </w:r>
      <w:r w:rsidRPr="009D3104">
        <w:rPr>
          <w:rFonts w:ascii="Bookman Old Style" w:hAnsi="Bookman Old Style"/>
          <w:sz w:val="22"/>
          <w:szCs w:val="22"/>
        </w:rPr>
        <w:t xml:space="preserve"> результаты Торгов аннулируются, указанное лицо утрачивает право на заключение договора, при этом уплаченный победителем Торгов задаток победителю аукциона не возвращается.</w:t>
      </w:r>
      <w:r w:rsidR="006E44B3" w:rsidRPr="009D3104">
        <w:rPr>
          <w:rFonts w:ascii="Bookman Old Style" w:hAnsi="Bookman Old Style"/>
          <w:sz w:val="22"/>
          <w:szCs w:val="22"/>
        </w:rPr>
        <w:t xml:space="preserve"> Продавец имеет право заключить договор купли-продажи</w:t>
      </w:r>
      <w:r w:rsidR="00D907A2">
        <w:rPr>
          <w:rFonts w:ascii="Bookman Old Style" w:hAnsi="Bookman Old Style"/>
          <w:sz w:val="22"/>
          <w:szCs w:val="22"/>
        </w:rPr>
        <w:t>, договор аренды</w:t>
      </w:r>
      <w:r w:rsidR="006E44B3" w:rsidRPr="009D3104">
        <w:rPr>
          <w:rFonts w:ascii="Bookman Old Style" w:hAnsi="Bookman Old Style"/>
          <w:sz w:val="22"/>
          <w:szCs w:val="22"/>
        </w:rPr>
        <w:t xml:space="preserve"> с единственным участником торгов по начальной цене Лота в случае признания торгов несостоявшимися.</w:t>
      </w:r>
    </w:p>
    <w:p w14:paraId="59E58F52" w14:textId="62E04BC0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F53918">
        <w:rPr>
          <w:rFonts w:ascii="Bookman Old Style" w:hAnsi="Bookman Old Style"/>
          <w:b/>
          <w:bCs/>
          <w:sz w:val="22"/>
          <w:szCs w:val="22"/>
        </w:rPr>
        <w:t>6</w:t>
      </w:r>
      <w:r w:rsidRPr="009D3104">
        <w:rPr>
          <w:rFonts w:ascii="Bookman Old Style" w:hAnsi="Bookman Old Style"/>
          <w:b/>
          <w:bCs/>
          <w:sz w:val="22"/>
          <w:szCs w:val="22"/>
        </w:rPr>
        <w:t>. Сроки платежей, реквизиты счетов, на которые вносятся платежи стоимости имущества (за вычетом суммы задатка):</w:t>
      </w:r>
    </w:p>
    <w:p w14:paraId="56B82A68" w14:textId="7DA21124" w:rsidR="004426B6" w:rsidRPr="009D3104" w:rsidRDefault="004426B6" w:rsidP="002F65B7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>Оплата стоимости имущества (за вычетом суммы задатка) производится Покупателем в сроки и на реквизиты, указанные в ДКП</w:t>
      </w:r>
      <w:r w:rsidR="0037419C" w:rsidRPr="009D3104">
        <w:rPr>
          <w:rFonts w:ascii="Bookman Old Style" w:hAnsi="Bookman Old Style"/>
          <w:sz w:val="22"/>
          <w:szCs w:val="22"/>
        </w:rPr>
        <w:t>, договоре аренды</w:t>
      </w:r>
      <w:r w:rsidRPr="009D3104">
        <w:rPr>
          <w:rFonts w:ascii="Bookman Old Style" w:hAnsi="Bookman Old Style"/>
          <w:sz w:val="22"/>
          <w:szCs w:val="22"/>
        </w:rPr>
        <w:t>.</w:t>
      </w:r>
    </w:p>
    <w:p w14:paraId="1C02FDC0" w14:textId="77777777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426B6" w:rsidRPr="009D3104" w14:paraId="34D09228" w14:textId="77777777" w:rsidTr="004426B6">
        <w:trPr>
          <w:trHeight w:val="486"/>
        </w:trPr>
        <w:tc>
          <w:tcPr>
            <w:tcW w:w="4962" w:type="dxa"/>
            <w:hideMark/>
          </w:tcPr>
          <w:p w14:paraId="39CD6EBD" w14:textId="77777777" w:rsidR="004426B6" w:rsidRPr="009D3104" w:rsidRDefault="004426B6" w:rsidP="002F65B7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Исполнителя</w:t>
            </w:r>
          </w:p>
        </w:tc>
        <w:tc>
          <w:tcPr>
            <w:tcW w:w="5103" w:type="dxa"/>
            <w:hideMark/>
          </w:tcPr>
          <w:p w14:paraId="191E2726" w14:textId="77777777" w:rsidR="004426B6" w:rsidRPr="009D3104" w:rsidRDefault="004426B6" w:rsidP="002F65B7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Заказчика</w:t>
            </w:r>
          </w:p>
        </w:tc>
      </w:tr>
      <w:tr w:rsidR="004426B6" w:rsidRPr="009D3104" w14:paraId="2703B6B1" w14:textId="77777777" w:rsidTr="004426B6">
        <w:trPr>
          <w:trHeight w:val="1021"/>
        </w:trPr>
        <w:tc>
          <w:tcPr>
            <w:tcW w:w="4962" w:type="dxa"/>
          </w:tcPr>
          <w:p w14:paraId="4083C898" w14:textId="77777777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 xml:space="preserve">Генеральный директор </w:t>
            </w:r>
          </w:p>
          <w:p w14:paraId="1AB354AD" w14:textId="77777777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ООО «О.ТР»</w:t>
            </w:r>
          </w:p>
          <w:p w14:paraId="6CC42213" w14:textId="77777777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B5C19B4" w14:textId="77777777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______________________ /В.В. Порхунов/</w:t>
            </w:r>
          </w:p>
          <w:p w14:paraId="5752F052" w14:textId="77777777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14:paraId="6038D702" w14:textId="17CB1C1A" w:rsidR="008527BD" w:rsidRPr="009D3104" w:rsidRDefault="00B369E8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Директор ООО «Дар»</w:t>
            </w:r>
          </w:p>
          <w:p w14:paraId="4E7ECE22" w14:textId="77777777" w:rsidR="008527BD" w:rsidRPr="009D3104" w:rsidRDefault="008527BD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6B8B8A9" w14:textId="77777777" w:rsidR="0037419C" w:rsidRPr="009D3104" w:rsidRDefault="0037419C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F2E7FB8" w14:textId="0AF67BF3" w:rsidR="004426B6" w:rsidRPr="009D3104" w:rsidRDefault="004426B6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_________________/</w:t>
            </w:r>
            <w:r w:rsidR="00B369E8" w:rsidRPr="009D3104">
              <w:rPr>
                <w:rFonts w:ascii="Bookman Old Style" w:hAnsi="Bookman Old Style"/>
                <w:bCs/>
                <w:sz w:val="22"/>
                <w:szCs w:val="22"/>
              </w:rPr>
              <w:t>А.В. Филимонов</w:t>
            </w: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/</w:t>
            </w: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  <w:p w14:paraId="75E68185" w14:textId="406A510F" w:rsidR="004426B6" w:rsidRPr="009D3104" w:rsidRDefault="008527BD" w:rsidP="002F65B7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  <w:r w:rsidR="004426B6" w:rsidRPr="009D3104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</w:tc>
      </w:tr>
    </w:tbl>
    <w:p w14:paraId="54846304" w14:textId="77777777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75D76B90" w14:textId="77777777" w:rsidR="004426B6" w:rsidRPr="009D3104" w:rsidRDefault="004426B6" w:rsidP="002F65B7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64466EB8" w14:textId="77777777" w:rsidR="004426B6" w:rsidRPr="004426B6" w:rsidRDefault="004426B6" w:rsidP="002F65B7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4932124E" w14:textId="77777777" w:rsidR="008F268B" w:rsidRPr="004426B6" w:rsidRDefault="008F268B" w:rsidP="002F65B7">
      <w:pPr>
        <w:ind w:left="142"/>
        <w:rPr>
          <w:rFonts w:ascii="Bookman Old Style" w:hAnsi="Bookman Old Style"/>
          <w:sz w:val="22"/>
          <w:szCs w:val="22"/>
        </w:rPr>
      </w:pPr>
    </w:p>
    <w:sectPr w:rsidR="008F268B" w:rsidRPr="004426B6" w:rsidSect="002F65B7">
      <w:footerReference w:type="default" r:id="rId7"/>
      <w:pgSz w:w="11906" w:h="16838"/>
      <w:pgMar w:top="425" w:right="851" w:bottom="567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D36D" w14:textId="77777777" w:rsidR="00B44563" w:rsidRDefault="00B44563" w:rsidP="00B17BC3">
      <w:r>
        <w:separator/>
      </w:r>
    </w:p>
  </w:endnote>
  <w:endnote w:type="continuationSeparator" w:id="0">
    <w:p w14:paraId="30DCF8E5" w14:textId="77777777" w:rsidR="00B44563" w:rsidRDefault="00B44563" w:rsidP="00B1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126430"/>
      <w:docPartObj>
        <w:docPartGallery w:val="Page Numbers (Bottom of Page)"/>
        <w:docPartUnique/>
      </w:docPartObj>
    </w:sdtPr>
    <w:sdtEndPr/>
    <w:sdtContent>
      <w:p w14:paraId="51E7DCCF" w14:textId="1F33BD6D" w:rsidR="00B17BC3" w:rsidRDefault="00B17BC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AF626" w14:textId="77777777" w:rsidR="00B17BC3" w:rsidRDefault="00B17B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C94E" w14:textId="77777777" w:rsidR="00B44563" w:rsidRDefault="00B44563" w:rsidP="00B17BC3">
      <w:r>
        <w:separator/>
      </w:r>
    </w:p>
  </w:footnote>
  <w:footnote w:type="continuationSeparator" w:id="0">
    <w:p w14:paraId="41404F2D" w14:textId="77777777" w:rsidR="00B44563" w:rsidRDefault="00B44563" w:rsidP="00B1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640"/>
    <w:multiLevelType w:val="hybridMultilevel"/>
    <w:tmpl w:val="6270E726"/>
    <w:lvl w:ilvl="0" w:tplc="B9E071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1902A9A"/>
    <w:multiLevelType w:val="multilevel"/>
    <w:tmpl w:val="39DE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27216"/>
    <w:multiLevelType w:val="hybridMultilevel"/>
    <w:tmpl w:val="A704D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0374">
    <w:abstractNumId w:val="1"/>
  </w:num>
  <w:num w:numId="2" w16cid:durableId="957375817">
    <w:abstractNumId w:val="0"/>
  </w:num>
  <w:num w:numId="3" w16cid:durableId="185842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C"/>
    <w:rsid w:val="0000198C"/>
    <w:rsid w:val="00004157"/>
    <w:rsid w:val="00026E8F"/>
    <w:rsid w:val="000451F0"/>
    <w:rsid w:val="00055441"/>
    <w:rsid w:val="0006463A"/>
    <w:rsid w:val="000A67A9"/>
    <w:rsid w:val="000A7097"/>
    <w:rsid w:val="000E34FF"/>
    <w:rsid w:val="001041D4"/>
    <w:rsid w:val="00115D7A"/>
    <w:rsid w:val="00124231"/>
    <w:rsid w:val="00125B09"/>
    <w:rsid w:val="00146054"/>
    <w:rsid w:val="001D2D3C"/>
    <w:rsid w:val="001E75C6"/>
    <w:rsid w:val="002007ED"/>
    <w:rsid w:val="00213507"/>
    <w:rsid w:val="00224511"/>
    <w:rsid w:val="0023154C"/>
    <w:rsid w:val="00253B05"/>
    <w:rsid w:val="0026112E"/>
    <w:rsid w:val="00270C5B"/>
    <w:rsid w:val="00273008"/>
    <w:rsid w:val="00275A66"/>
    <w:rsid w:val="002812A7"/>
    <w:rsid w:val="002C7EEC"/>
    <w:rsid w:val="002F401C"/>
    <w:rsid w:val="002F65B7"/>
    <w:rsid w:val="003112B9"/>
    <w:rsid w:val="003155E2"/>
    <w:rsid w:val="003167C8"/>
    <w:rsid w:val="00331BE7"/>
    <w:rsid w:val="003337EE"/>
    <w:rsid w:val="0034763A"/>
    <w:rsid w:val="00357E42"/>
    <w:rsid w:val="0036016E"/>
    <w:rsid w:val="0037419C"/>
    <w:rsid w:val="00386082"/>
    <w:rsid w:val="003965B3"/>
    <w:rsid w:val="003E29BA"/>
    <w:rsid w:val="003F281E"/>
    <w:rsid w:val="003F3DA5"/>
    <w:rsid w:val="0040356B"/>
    <w:rsid w:val="0042398E"/>
    <w:rsid w:val="00441C66"/>
    <w:rsid w:val="004426B6"/>
    <w:rsid w:val="00484308"/>
    <w:rsid w:val="004B20CC"/>
    <w:rsid w:val="004B5393"/>
    <w:rsid w:val="004E3FEB"/>
    <w:rsid w:val="004F149C"/>
    <w:rsid w:val="004F3B7A"/>
    <w:rsid w:val="004F605C"/>
    <w:rsid w:val="005012B8"/>
    <w:rsid w:val="0052034C"/>
    <w:rsid w:val="00532926"/>
    <w:rsid w:val="00534730"/>
    <w:rsid w:val="00543DE2"/>
    <w:rsid w:val="0059659A"/>
    <w:rsid w:val="00597EE3"/>
    <w:rsid w:val="005A66A2"/>
    <w:rsid w:val="005A73B4"/>
    <w:rsid w:val="005E368C"/>
    <w:rsid w:val="005E65AF"/>
    <w:rsid w:val="00604CAF"/>
    <w:rsid w:val="00651C4C"/>
    <w:rsid w:val="0065357D"/>
    <w:rsid w:val="006877CC"/>
    <w:rsid w:val="006E44B3"/>
    <w:rsid w:val="006F3B51"/>
    <w:rsid w:val="006F4742"/>
    <w:rsid w:val="007063E2"/>
    <w:rsid w:val="0074251B"/>
    <w:rsid w:val="00756101"/>
    <w:rsid w:val="00766BD5"/>
    <w:rsid w:val="007A7F7C"/>
    <w:rsid w:val="007B476A"/>
    <w:rsid w:val="007C14CD"/>
    <w:rsid w:val="007F0705"/>
    <w:rsid w:val="0082517E"/>
    <w:rsid w:val="00827E96"/>
    <w:rsid w:val="008527BD"/>
    <w:rsid w:val="00854788"/>
    <w:rsid w:val="008A59A0"/>
    <w:rsid w:val="008B2379"/>
    <w:rsid w:val="008C5243"/>
    <w:rsid w:val="008E1D3C"/>
    <w:rsid w:val="008F268B"/>
    <w:rsid w:val="0090029B"/>
    <w:rsid w:val="009147FD"/>
    <w:rsid w:val="009158F5"/>
    <w:rsid w:val="009231CD"/>
    <w:rsid w:val="00933C48"/>
    <w:rsid w:val="00950BAA"/>
    <w:rsid w:val="00956F0B"/>
    <w:rsid w:val="00960770"/>
    <w:rsid w:val="00965C74"/>
    <w:rsid w:val="009A4851"/>
    <w:rsid w:val="009B66B7"/>
    <w:rsid w:val="009D3104"/>
    <w:rsid w:val="009D329D"/>
    <w:rsid w:val="00A01841"/>
    <w:rsid w:val="00A0399A"/>
    <w:rsid w:val="00A051DD"/>
    <w:rsid w:val="00A070D2"/>
    <w:rsid w:val="00A16053"/>
    <w:rsid w:val="00A84406"/>
    <w:rsid w:val="00A9754B"/>
    <w:rsid w:val="00AB5621"/>
    <w:rsid w:val="00AF0A0D"/>
    <w:rsid w:val="00B013AF"/>
    <w:rsid w:val="00B04646"/>
    <w:rsid w:val="00B13AA9"/>
    <w:rsid w:val="00B17BC3"/>
    <w:rsid w:val="00B369E8"/>
    <w:rsid w:val="00B44563"/>
    <w:rsid w:val="00B65B2F"/>
    <w:rsid w:val="00B807A5"/>
    <w:rsid w:val="00BE013D"/>
    <w:rsid w:val="00BE7765"/>
    <w:rsid w:val="00BF1680"/>
    <w:rsid w:val="00BF7CAC"/>
    <w:rsid w:val="00C056F6"/>
    <w:rsid w:val="00C05A63"/>
    <w:rsid w:val="00C06B85"/>
    <w:rsid w:val="00C164A9"/>
    <w:rsid w:val="00C43621"/>
    <w:rsid w:val="00C535C4"/>
    <w:rsid w:val="00C64FA9"/>
    <w:rsid w:val="00C97647"/>
    <w:rsid w:val="00CA3CC8"/>
    <w:rsid w:val="00CC3A28"/>
    <w:rsid w:val="00CD40B5"/>
    <w:rsid w:val="00CE18B2"/>
    <w:rsid w:val="00D05072"/>
    <w:rsid w:val="00D13539"/>
    <w:rsid w:val="00D333D5"/>
    <w:rsid w:val="00D52E8C"/>
    <w:rsid w:val="00D56DF3"/>
    <w:rsid w:val="00D82135"/>
    <w:rsid w:val="00D907A2"/>
    <w:rsid w:val="00DA1BFE"/>
    <w:rsid w:val="00DC1D57"/>
    <w:rsid w:val="00DD1C90"/>
    <w:rsid w:val="00E04AA6"/>
    <w:rsid w:val="00E1054A"/>
    <w:rsid w:val="00E942F8"/>
    <w:rsid w:val="00E948DC"/>
    <w:rsid w:val="00EB4173"/>
    <w:rsid w:val="00EB7409"/>
    <w:rsid w:val="00EC63FA"/>
    <w:rsid w:val="00EF5A3F"/>
    <w:rsid w:val="00F06F19"/>
    <w:rsid w:val="00F12D28"/>
    <w:rsid w:val="00F1531B"/>
    <w:rsid w:val="00F4734C"/>
    <w:rsid w:val="00F53918"/>
    <w:rsid w:val="00F66538"/>
    <w:rsid w:val="00F70AB2"/>
    <w:rsid w:val="00F72517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5D43C2"/>
  <w15:chartTrackingRefBased/>
  <w15:docId w15:val="{E04ED4D1-E641-4486-9872-337949C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3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3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3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3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3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3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3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734C"/>
    <w:rPr>
      <w:i/>
      <w:iCs/>
      <w:color w:val="404040" w:themeColor="text1" w:themeTint="BF"/>
    </w:rPr>
  </w:style>
  <w:style w:type="paragraph" w:styleId="a7">
    <w:name w:val="List Paragraph"/>
    <w:aliases w:val="Список точки,List Paragraph,Заголовок 3 -третий уровень,СПИСОК,Абзац списка ЭкспертЪ,Список 1,Абзац списка с дефисом,Абзац с дефисом"/>
    <w:basedOn w:val="a"/>
    <w:link w:val="a8"/>
    <w:uiPriority w:val="34"/>
    <w:qFormat/>
    <w:rsid w:val="00F473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F4734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4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F4734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4734C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писок точки Знак,List Paragraph Знак,Заголовок 3 -третий уровень Знак,СПИСОК Знак,Абзац списка ЭкспертЪ Знак,Список 1 Знак,Абзац списка с дефисом Знак,Абзац с дефисом Знак"/>
    <w:link w:val="a7"/>
    <w:uiPriority w:val="34"/>
    <w:locked/>
    <w:rsid w:val="004426B6"/>
  </w:style>
  <w:style w:type="paragraph" w:styleId="ad">
    <w:name w:val="header"/>
    <w:basedOn w:val="a"/>
    <w:link w:val="ae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3">
    <w:name w:val="blk3"/>
    <w:qFormat/>
    <w:rsid w:val="00386082"/>
    <w:rPr>
      <w:vanish w:val="0"/>
    </w:rPr>
  </w:style>
  <w:style w:type="paragraph" w:styleId="af1">
    <w:name w:val="Balloon Text"/>
    <w:basedOn w:val="a"/>
    <w:link w:val="af2"/>
    <w:uiPriority w:val="99"/>
    <w:semiHidden/>
    <w:unhideWhenUsed/>
    <w:rsid w:val="00DC1D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D5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cp:lastPrinted>2025-04-17T09:41:00Z</cp:lastPrinted>
  <dcterms:created xsi:type="dcterms:W3CDTF">2025-07-18T05:30:00Z</dcterms:created>
  <dcterms:modified xsi:type="dcterms:W3CDTF">2025-07-18T12:02:00Z</dcterms:modified>
</cp:coreProperties>
</file>