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4783–ОАОФКС/2/6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4783-ОАОФКС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Транспортное средство. Модель: Lexus LS460. Тип КПП: АКПП. VIN JTHGL46F105001474. Гос. номер: А892АА190. Объем двигателя (л.): 4,6. Мощность двигателя (л.с.): 381. Год выпуска: 2006. Начальная цена: 836 000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836 000.00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«03» июля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4783–ОАОФКС/1/6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Шадриков Данил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(ИНН:503816866139)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11:38:15;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09:01:02;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1 086 800.00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1 078 440.00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11:38:05.615389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11:36:59.864225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11:36:46.420087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11:36:39.674247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11:35:29.412921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11:34:16.215430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11:34:05.231499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11:32:54.837714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11:12:37.791589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1 011 560.00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11:12:25.276129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11:12:08.802651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994 840.00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11:12:01.088361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11:11:12.596557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11:10:19.474204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11:10:11.236385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11:09:59.082772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11:09:54.802669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11:09:40.853934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936 320.00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11:09:30.585942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11:09:24.036126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11:08:04.093212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11:06:40.193742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11:06:36.574779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11:06:26.017532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11:06:05.320817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11:05:42.748264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11:05:00.709246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11:02:58.886375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11:01:15.812763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11:00:30.007224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141280, Московская область, город Ивантеевка, улица Заводская, дом 12, квартира 49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1 078 440.00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390006, РЯЗАНСКАЯ ОБЛАСТЬ,Г.О. ГОРОД РЯЗАНЬ,Г РЯЗАНЬ,Ш СОЛОТЧИНСКОЕ,Д. 2 , ПОМЕЩ. Н104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1 086 800.00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(ОБЩЕСТВО С ОГРАНИЧЕННОЙ ОТВЕТСТВЕННОСТЬЮ "АУКЦИОННЫЙ БРОКЕР")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