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4699–ОАОФКС/1/2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4699-ОАОФКС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 ВАЗ (LADA) Niva Travel. Тип КПП: МКПП. VIN X9L212300M0738959. Гос. номер: Р675ВТ196. Объем двигателя (л.): 1,7. Мощность двигателя (л.с./кВт.): 79.5/58.5. Год выпуска: 2021. Начальная цена: 550 000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550 000.00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