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4073–ОАОФКС/1/10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VOLKSWAGEN (WV2) CADDY, Тип КПП: МКПП, VIN WV2ZZZ2KZ8X141110, Гос. номер А061УР147, Объем двигателя (куб.см.): 1595, Мощность двигателя (л.с./кВт): 102/75, Год выпуска: 2008, Наличие ПТС: нет, Наличие ключей: нет, Начальная цена 379 100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379 100.00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