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4064–ОАОФКС/1/1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4064-ОАОФКС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Транспортное средство, Модель: KIA BD CERATO, Тип КПП: АКПП, VIN XWEFB416BJC000150, Гос. номер Т535УТ42, Объем двигателя (куб.см.): 1591, Мощность двигателя (л.с./кВт): 127.53/93.8, Год выпуска: 2019, Наличие ПТС: нет, Наличие ключей: нет, Начальная цена: 1 213 800 руб..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1 213 800.00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Общество с ограниченной ответственностью «ТР».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«14» января 2025 года, время:  14:15:18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Косырев Максим Владиславович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ИНН:132608687600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«20» января 2025 года, время:  16:57:22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ОГРН:1226200004513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«20» января 2025 года, время:  16:57:22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ОБЩЕСТВО С ОГРАНИЧЕННОЙ ОТВЕТСТВЕННОСТЬЮ "АУКЦИОННЫЙ БРОКЕР"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ОГРН:1226200004513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«14» января 2025 года, время:  14:15:18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Косырев Максим Владиславович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ИНН:132608687600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