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3075–ОАОФКС/1/8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октября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50:13:0010333:3431. Площадь 1339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«11» октября 2024 года, время:  10:32:29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Рыбников Игорь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ИНН:610702827901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«11» октября 2024 года, время:  11:32:32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«11» октября 2024 года, время:  11:32:32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«11» октября 2024 года, время:  10:32:29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Рыбников Игорь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ИНН:610702827901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