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2871–ОАОФКС/1/4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4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легковой седан; Модель: Hyundai Sonata; VIN XWEL341BBL0002074; Гос. номер: M 839 УУ 198; Объем двигателя (куб.см.): 2497; Мощность двигателя (л.с.): 179,5 (132); Год выпуска: 2020..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2 083 000.00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сентября 2024 года, время:  15:23:08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Бутенко Евгений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ИНН:672305244655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сентября 2024 года, время:  16:39:44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Кузьмин Вячеслав Юрьевич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ИНН:532204187530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«9» сентября 2024 года, время:  16:39:44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Кузьмин Вячеслав Юрьевич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ИНН:532204187530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«9» сентября 2024 года, время:  15:23:08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Бутенко Евгений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ИНН:672305244655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