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2870–ОАОФКС/1/3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3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2870-ОАОФКС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грузовой бортовой; Модель: Hyundai Н-100(AU) Porter; VIN X7MXKN7FP6M001682; Гос. номер: B 626 XX 190; Объем двигателя (куб.см.): 2476; Мощность двигателя (л.с.): 80 (58,8); Цвет: синий; ПТС отсутствует; в наличии ключ зажигания – 1 шт.; Год выпуска: 2010..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297 000.00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