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778–ОАОФКС/1/1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2023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778-ОАОФКС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ЛОТ №1 Карусельная парковка на 12 машин.
Продается механизированная роторная автопарковка на 12 машин. Новая. Использовалась только в тестовом режиме. Находится в Санкт-Петербурге..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6 300 000.00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Павлова В.К..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Павлова Валентина Кифовна.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мая 2023г. 15:00:00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июня 2023г. 21:00:00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(Павлова Валентина Кифовна)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Павлова Валентина Кифовна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