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801–ОАОФКС/1/1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«22» июня 2023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801-ОАОФКС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Экажев Казбек Магомедович;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Лада 219010 - LADA GRANTA, Год изготовления ТС 2014, Цвет- Сине-Черный,  Мощность двигателя- л.с. 84 (64.0 кВт)., Идентификационный номер- VIN ХТА219010Е0243428,  Тип ТС- Легковой , Масса без нагрузки кг 1160.. Автомобиль по 5-ти бальной шкале: на тройку, машина в обвесе Гранта Спорт, а так все стандартно! Мелкие косяки по кузову так ничего критичного..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430 000.00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Экажев Казбек Магомедович.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«25» мая 2023г. 16:00:00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«21» июня 2023г.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«21» июня 2023 года, время:  14:58:15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Бабаева Лайла Алиевна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ИНН:200412780796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«21» июня 2023 года, время:  14:58:15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Бабаева Лайла Алиевна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ИНН:200412780796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