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587D66" w:rsidRDefault="00D241D8">
      <w:pPr>
        <w:pStyle w:val="af2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66" w:rsidRDefault="00D241D8">
      <w:pPr>
        <w:pStyle w:val="af2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 668–ОАОФКС/2/1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ПО ЛОТУ № 1 НЕСОСТОЯВШИМИСЯ </w:t>
      </w:r>
    </w:p>
    <w:p w:rsidR="00587D66" w:rsidRDefault="00587D66">
      <w:pPr>
        <w:pStyle w:val="af2"/>
        <w:spacing w:before="0pt" w:after="0pt" w:line="14.40pt" w:lineRule="auto"/>
        <w:ind w:firstLine="0pt"/>
        <w:rPr>
          <w:sz w:val="26"/>
          <w:szCs w:val="26"/>
        </w:rPr>
      </w:pPr>
    </w:p>
    <w:p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«4» мая 2023 года</w:t>
      </w:r>
    </w:p>
    <w:p w:rsidR="00587D66" w:rsidRDefault="00587D66">
      <w:pPr>
        <w:pStyle w:val="af4"/>
        <w:spacing w:before="14pt" w:beforeAutospacing="0" w:after="6pt" w:afterAutospacing="0" w:line="13.20pt" w:lineRule="auto"/>
        <w:ind w:start="0pt" w:firstLine="0pt"/>
        <w:jc w:val="both"/>
      </w:pP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668-ОАОФКС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Дзангиева Айшат Юсуповна;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Предлагается к продаже земельный участок. Категория земель: замли населенных пунктов- Для индивидуальной жилой застройки.   Кадастровый (или условный ) номер: 06:02:0000006:140.  Адрес: Республика Ингушетия, Сунженский район, ст-ца. Орджоникидзевская, ул. Одесская, 179.  Площадь: 800 кв.М..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350 000.00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</w:p>
    <w:p w:rsidR="00587D66" w:rsidRDefault="00D241D8">
      <w:pPr>
        <w:spacing w:after="6pt" w:line="13.20pt" w:lineRule="auto"/>
        <w:ind w:firstLine="28.35pt"/>
      </w:pPr>
      <w:r>
        <w:t>Дзангиева Айшат Юсуповна.</w:t>
      </w:r>
    </w:p>
    <w:p w:rsidR="00587D66" w:rsidRPr="00D27819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6</w:t>
      </w:r>
      <w:r w:rsidRPr="00D27819">
        <w:t xml:space="preserve">. </w:t>
      </w:r>
      <w:r>
        <w:t>Организатор</w:t>
      </w:r>
      <w:r w:rsidRPr="00D27819">
        <w:t xml:space="preserve"> </w:t>
      </w:r>
      <w:r>
        <w:t>торгов</w:t>
      </w:r>
      <w:r w:rsidRPr="00D27819">
        <w:t xml:space="preserve"> </w:t>
      </w:r>
    </w:p>
    <w:p w:rsidR="00587D66" w:rsidRPr="00D27819" w:rsidRDefault="00D241D8">
      <w:pPr>
        <w:spacing w:after="6pt" w:line="13.20pt" w:lineRule="auto"/>
        <w:ind w:firstLine="28.35pt"/>
      </w:pPr>
      <w:r w:rsidRPr="00D27819">
        <w:t>Чахкиев Микаил Юнусович.</w:t>
      </w:r>
      <w:bookmarkStart w:id="4" w:name="_Hlk37882833"/>
      <w:bookmarkEnd w:id="4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>, адрес в сети инт</w:t>
      </w:r>
      <w:r>
        <w:t xml:space="preserve">ернет: </w:t>
      </w:r>
      <w:r>
        <w:rPr>
          <w:color w:val="800000"/>
          <w:u w:val="single"/>
        </w:rPr>
        <w:t/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«10» апреля 2023г. 12:00:00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«02» мая 2023г. 15:30:00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«03» мая 2023г. 15:00:00</w:t>
      </w:r>
      <w:bookmarkStart w:id="8" w:name="_Hlk37883074"/>
      <w:bookmarkEnd w:id="8"/>
    </w:p>
    <w:p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«04» мая 2023г. 12:00:00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587D66" w:rsidRDefault="00D241D8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668–ОАОФКС/1/1</w:t>
      </w:r>
      <w:r>
        <w:t xml:space="preserve"> от </w:t>
      </w:r>
      <w:r>
        <w:rPr>
          <w:u w:val="single"/>
        </w:rPr>
        <w:t>«2» мая 2023 года</w:t>
      </w:r>
      <w:r>
        <w:t xml:space="preserve"> участниками торгов являются следующие лица (далее – Участники торгов)</w:t>
      </w:r>
      <w:r>
        <w:t>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D27819">
        <w:tc>
          <w:tcPr>
            <w:tcW w:w="431.80pt" w:type="dxa"/>
            <w:shd w:val="clear" w:color="auto" w:fill="auto"/>
          </w:tcPr>
          <w:p w:rsidR="00587D66" w:rsidRDefault="00D241D8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Мациева Анжела Ахметовна</w:t>
            </w:r>
          </w:p>
          <w:p w:rsidR="00587D66" w:rsidRDefault="00D241D8">
            <w:pPr>
              <w:rPr>
                <w:lang w:val="en-US"/>
              </w:rPr>
            </w:pPr>
            <w:r>
              <w:rPr>
                <w:lang w:val="en-US"/>
              </w:rPr>
              <w:t>(ИНН:151203439826)</w:t>
            </w:r>
          </w:p>
          <w:p w:rsidR="00587D66" w:rsidRDefault="00D241D8">
            <w:pPr>
              <w:pStyle w:val="af7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«17» апреля 2023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16:47:30;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10. Предложения о цене приобретения лота</w:t>
      </w:r>
    </w:p>
    <w:p w:rsidR="00587D66" w:rsidRDefault="00D241D8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  <w:lang w:val="en-US"/>
              </w:rPr>
              <w:t> Мациева Анжела Ахметовна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350 000.00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03.05.2023 15:00:47.744105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p w:rsidR="00587D66" w:rsidRDefault="00D241D8">
      <w:pPr>
        <w:spacing w:after="6pt" w:line="13.20pt" w:lineRule="auto"/>
        <w:ind w:start="28.35pt"/>
      </w:pPr>
      <w:r>
        <w:t xml:space="preserve">В связи с </w:t>
      </w:r>
      <w:r>
        <w:t>тем, что на участие в торгах был допущен только один участник, организатором торгов принято решение о признании торгов несостоявшимися.</w:t>
      </w:r>
    </w:p>
    <w:p w:rsidR="00587D66" w:rsidRDefault="00D241D8">
      <w:pPr>
        <w:spacing w:after="6pt" w:line="13.20pt" w:lineRule="auto"/>
        <w:ind w:start="28.35pt"/>
      </w:pPr>
      <w:r>
        <w:t xml:space="preserve">Так как к участию в торгах был допущен только один участник, заявка которого на участие в торгах содержит предложение о </w:t>
      </w:r>
      <w:r>
        <w:t>цене не ниже установленной начальной цены продажи лота, договор купли-продажи может быть заключен организатором торгов с этим участником в соответствии с представленным им предложением о цене.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587D66" w:rsidRDefault="00D241D8">
      <w:pPr>
        <w:spacing w:after="6pt" w:line="13.20pt" w:lineRule="auto"/>
        <w:ind w:start="28.35pt"/>
      </w:pPr>
      <w:r>
        <w:t>В течение 5 (Пяти) рабочих дней с даты подписания протокола организатор торгов направляет победителю предложение заключить договор купли-продажи имущества. 
Договор купли-продажи по результатам открытых торгов заключается вне электронной площадки. 
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
Договор купли-продажи имущества заключает собственник с победителем торгов. В случаи неоплаты оставшейся суммы в течении 5 (пяти) рабочих дней ДКП не заключается, задаток не возвращается.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587D66" w:rsidRPr="00D27819" w:rsidRDefault="00D241D8">
      <w:pPr>
        <w:spacing w:after="6pt" w:line="13.20pt" w:lineRule="auto"/>
        <w:ind w:start="28.35pt"/>
        <w:rPr>
          <w:lang w:val="en-US"/>
        </w:rPr>
      </w:pPr>
      <w:r w:rsidRPr="00D27819">
        <w:rPr>
          <w:lang w:val="en-US"/>
        </w:rPr>
        <w:t>Оплата покупной цены договора купли-продажи производится Покупателем на расчетный счет Собственника, указанный в договоре купли-продажи, заключенному по результатам торгов между Собственником и победителем торгов, в течение 5 (пяти) рабочих дней с даты заключения договора</w:t>
      </w:r>
      <w:bookmarkStart w:id="12" w:name="_Hlk38152492"/>
      <w:bookmarkEnd w:id="12"/>
    </w:p>
    <w:p w:rsidR="00587D66" w:rsidRDefault="00D241D8">
      <w:pPr>
        <w:pStyle w:val="af6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87D66" w:rsidRDefault="00D241D8">
      <w:pPr>
        <w:pStyle w:val="af6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(Чахкиев Микаил Юнусович) </w:t>
      </w:r>
    </w:p>
    <w:p w:rsidR="00587D66" w:rsidRDefault="00D241D8">
      <w:pPr>
        <w:pStyle w:val="af6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587D66" w:rsidRDefault="00587D66">
      <w:pPr>
        <w:spacing w:after="6pt" w:line="13.20pt" w:lineRule="auto"/>
        <w:rPr>
          <w:lang w:val="en-US"/>
        </w:rPr>
      </w:pPr>
    </w:p>
    <w:p w:rsidR="00587D66" w:rsidRDefault="00587D66">
      <w:pPr>
        <w:pStyle w:val="af6"/>
        <w:spacing w:before="6pt" w:beforeAutospacing="0" w:after="6pt" w:afterAutospacing="0" w:line="13.20pt" w:lineRule="auto"/>
        <w:jc w:val="both"/>
        <w:rPr>
          <w:lang w:val="en-US"/>
        </w:rPr>
      </w:pPr>
    </w:p>
    <w:sectPr w:rsidR="00587D66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241D8" w:rsidRDefault="00D241D8">
      <w:r>
        <w:separator/>
      </w:r>
    </w:p>
  </w:endnote>
  <w:endnote w:type="continuationSeparator" w:id="0">
    <w:p w:rsidR="00D241D8" w:rsidRDefault="00D2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241D8" w:rsidRDefault="00D241D8">
      <w:r>
        <w:separator/>
      </w:r>
    </w:p>
  </w:footnote>
  <w:footnote w:type="continuationSeparator" w:id="0">
    <w:p w:rsidR="00D241D8" w:rsidRDefault="00D241D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587D66" w:rsidRDefault="00D241D8">
    <w:pPr>
      <w:pStyle w:val="af8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D66"/>
    <w:rsid w:val="00587D66"/>
    <w:rsid w:val="00D241D8"/>
    <w:rsid w:val="00D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f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2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E6207D6-2D56-4985-B8EC-CA19787BF7C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