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428–ОАОФКС/1/1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«18» ноября 2022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Манкиев Ахмед Фурдамбекович;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ВАЗ 21150, Год изготовления ТС 2003,  Цвет кузова Серебристо-Голубой , Мощность двигателя кВт/л. с. 57/78 , Идентификационный номер VIN ХТА21150033531090 , Кузов № ХТА21150033531090 , Тип ТС Легковой седан , Экологический класс НЕ УСТАНОВЛЕНО ,  Масса без нагрузки 985 ,  Автомобиль битый (в аварийном состоянии),  кузов в ржавчине, погнутая крыша, лонжерон под замену.\
 Машина находится- в г.Назрань, Республика Ингушетия..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180 000.00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Манкиев Ахмед Фурдамбекович.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«18» октября 2022г. 00:00:00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ноября 2022г. 00:00:00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«15» ноября 2022 года, время:  16:36:16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Куштова Любовь Мухтаровна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ИНН:150303477284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«15» ноября 2022 года, время:  16:36:16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Куштова Любовь Мухтаровна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ИНН:150303477284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