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387–ОАОФКС/1/5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Право требования дебиторской задолженности с ООО «Бравада» (ИНН 4205334650) исполнения обязательств по оплате суммы долга в размере 1 200 000 рублей по Решению Арбитражного суда Кемеровской области от 24.12.2019г. по делу №А27-23387/2019.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«23» июля 2022г.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«28»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