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336–ОАОФКС/1/5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Право требования дебиторской задолженности с ООО «Бравада» (ИНН 4205334650) исполнения обязательств по оплате суммы долга в размере 1 200 000 рублей по Решению Арбитражного суда Кемеровской области от 24.12.2019г. по делу №А27-23387/2019.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«11» марта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«21» марта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