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318–ОАОФКС/2/5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февраля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Право требования дебиторской задолженности с ООО «Бравада» (ИНН 4205334650) исполнения обязательств по оплате суммы долга в размере 1 200 000 рублей по Решению Арбитражного суда Кемеровской области от 24.12.2019г. по делу №А27-23387/2019.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«14» февраля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февраля 2022г.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